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SVLFG-AltRückV — Übergangsvorschriften</w:t>
      </w:r>
    </w:p>
    <w:p>
      <w:r>
        <w:rPr>
          <w:color w:val="555555"/>
          <w:sz w:val="18"/>
        </w:rPr>
        <w:t xml:space="preserve">SVLFG-Altersrückstellungsverordnung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Versorgungsleistungen, die vor dem 1. Januar 2040 zu erbringen sind, sind keine Altersrückstellungen nach § 1 zu bilden.</w:t>
      </w:r>
    </w:p>
    <w:p>
      <w:r>
        <w:t xml:space="preserve">(2) Für die in § 1 Absatz 1 genannten Personen, deren Beschäftigungsverhältnis zur Sozialversicherung für Landwirtschaft, Forsten und Gartenbau am 31. Dezember 2017 bereits bestanden hat, ist § 1 mit der Maßgabe anzuwenden, dass auch der Abzug eines Barwerts fiktiver, auf das Jahr 2018 kalkulierter Jahresprämien zulässig ist, wenn die Voraussetzung des § 1 Absatz 2 Satz 2 erfüllt ist.</w:t>
      </w:r>
    </w:p>
    <w:p>
      <w:r>
        <w:rPr>
          <w:color w:val="555555"/>
          <w:sz w:val="17"/>
        </w:rPr>
        <w:t xml:space="preserve">Zitiervorschlag: § 4 SVLFG-AltRückV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https://recht.nulegal.eu/gesetze/SVLFG-AltR%C3%BCckV/4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