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SVLFG-AltRückV — Höhe und Überprüfung der Zuweisungssätze</w:t>
      </w:r>
    </w:p>
    <w:p>
      <w:r>
        <w:rPr>
          <w:color w:val="555555"/>
          <w:sz w:val="18"/>
        </w:rPr>
        <w:t xml:space="preserve">SVLFG-Altersrückstellungsverordnung</w:t>
      </w:r>
    </w:p>
    <w:p>
      <w:r>
        <w:rPr>
          <w:color w:val="555555"/>
          <w:sz w:val="18"/>
        </w:rPr>
        <w:t xml:space="preserve">Stand: 10.06.2019 (konsolidierte Textfassung, kein amtliches Inkrafttretensdatum)</w:t>
      </w:r>
    </w:p>
    <w:p>
      <w:r>
        <w:t xml:space="preserve">(1) Erforderlich ist ein Zuweisungssatz, der in jährlich gleichbleibender Höhe zum Aufbau des benötigten Deckungskapitals führt.</w:t>
      </w:r>
    </w:p>
    <w:p>
      <w:r>
        <w:t xml:space="preserve">(2) Der Zuweisungssatz nach Absatz 1 wird ermittelt, indem das bis zum 31. Dezember 2039 zu bildende Deckungskapital mit einem Quotienten multipliziert wird, der im Dividend den nach § 1 Absatz 3 Satz 2 Nummer 1 zu verwendenden Rechnungszins enthält und dessen Divisor dem Aufzinsungsfaktor, verringert um 1, entspricht. Bereits gebildetes Deckungskapital wird berücksichtigt, indem das gebildete Deckungskapital mit dem Rechnungszins nach § 1 Absatz 3 Satz 2 Nummer 1 über die Restlaufzeit aufgezinst und von dem insgesamt zu bildenden Deckungskapital subtrahiert wird. Es ergibt sich für die Berechnung des Zuweisungssatzes nach Absatz 1 somit folgende Formel:</w:t>
      </w:r>
    </w:p>
    <w:p>
      <w:r>
        <w:rPr>
          <w:rFonts w:ascii="Courier New" w:hAnsi="Courier New"/>
          <w:sz w:val="17"/>
        </w:rPr>
        <w:t xml:space="preserve">[Abbildung]</w:t>
      </w:r>
    </w:p>
    <w:p>
      <w:r>
        <w:rPr>
          <w:rFonts w:ascii="Courier New" w:hAnsi="Courier New"/>
          <w:sz w:val="17"/>
        </w:rPr>
        <w:t xml:space="preserve">mit    z    =    jährlich dem Deckungskapital in gleicher Höhe zuzuführender Zuweisungssatz,</w:t>
      </w:r>
    </w:p>
    <w:p>
      <w:r>
        <w:rPr>
          <w:rFonts w:ascii="Courier New" w:hAnsi="Courier New"/>
          <w:sz w:val="17"/>
        </w:rPr>
        <w:t xml:space="preserve">    D    =    bis zum 31. Dezember 2039 zu bildendes Deckungskapital für Versorgungszusagen nach § 7 Absatz 1 des Gesetzes zur Errichtung der Sozialversicherung für Landwirtschaft, Forsten und Gartenbau,</w:t>
      </w:r>
    </w:p>
    <w:p>
      <w:r>
        <w:rPr>
          <w:rFonts w:ascii="Courier New" w:hAnsi="Courier New"/>
          <w:sz w:val="17"/>
        </w:rPr>
        <w:t xml:space="preserve">    B    =    bereits gebildetes Deckungskapital,</w:t>
      </w:r>
    </w:p>
    <w:p>
      <w:r>
        <w:rPr>
          <w:rFonts w:ascii="Courier New" w:hAnsi="Courier New"/>
          <w:sz w:val="17"/>
        </w:rPr>
        <w:t xml:space="preserve">    t    =    Restlaufzeit bis zum 31. Dezember 2039 in Jahren,</w:t>
      </w:r>
    </w:p>
    <w:p>
      <w:r>
        <w:rPr>
          <w:rFonts w:ascii="Courier New" w:hAnsi="Courier New"/>
          <w:sz w:val="17"/>
        </w:rPr>
        <w:t xml:space="preserve">    i    =    Rechnungszins nach § 1 Absatz 3 Satz 2 Nummer 1.</w:t>
      </w:r>
    </w:p>
    <w:p>
      <w:r>
        <w:t xml:space="preserve">Solange der jährliche Zuweisungssatz kleiner oder gleich Null ist, sind keine Zuführungen zum Deckungskapital zu leisten.</w:t>
      </w:r>
    </w:p>
    <w:p>
      <w:r>
        <w:t xml:space="preserve">(3) Die Höhe des Deckungskapitals, der Altersrückstellungen und des erforderlichen jährlichen Zuweisungssatzes sind bei wesentlichen Änderungen der Berechnungsgrundlagen, spätestens aber alle fünf Jahre zu überprüfen. Der Zuweisungssatz ist anzupassen, sobald sich auf Grund einer Überprüfung die Höhe des zum 31. Dezember 2039 aufzubauenden Deckungskapitals verändert.</w:t>
      </w:r>
    </w:p>
    <w:p>
      <w:r>
        <w:rPr>
          <w:color w:val="555555"/>
          <w:sz w:val="17"/>
        </w:rPr>
        <w:t xml:space="preserve">Zitiervorschlag: § 2 SVLFG-AltRückV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https://recht.nulegal.eu/gesetze/SVLFG-AltR%C3%BCckV/2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