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SVIKG — Investitionen des Bundes</w:t>
      </w:r>
    </w:p>
    <w:p>
      <w:r>
        <w:rPr>
          <w:color w:val="555555"/>
          <w:sz w:val="18"/>
        </w:rPr>
        <w:t xml:space="preserve">Gesetz zur Errichtung eines Sondervermögens Infrastruktur und Klimaneutralität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(1) Aus dem Sondervermögen werden in den folgenden Bereichen zusätzliche Investitionen des Bundes in die Infrastruktur innerhalb seiner Ausgabenzuständigkeit finanziert:</w:t>
      </w:r>
    </w:p>
    <w:p>
      <w:pPr>
        <w:ind w:left="420"/>
      </w:pPr>
      <w:r>
        <w:t xml:space="preserve">1. Zivil- und Bevölkerungsschutz,</w:t>
      </w:r>
    </w:p>
    <w:p>
      <w:pPr>
        <w:ind w:left="420"/>
      </w:pPr>
      <w:r>
        <w:t xml:space="preserve">2. Verkehrsinfrastruktur,</w:t>
      </w:r>
    </w:p>
    <w:p>
      <w:pPr>
        <w:ind w:left="420"/>
      </w:pPr>
      <w:r>
        <w:t xml:space="preserve">3. Krankenhausinfrastruktur,</w:t>
      </w:r>
    </w:p>
    <w:p>
      <w:pPr>
        <w:ind w:left="420"/>
      </w:pPr>
      <w:r>
        <w:t xml:space="preserve">4. Energieinfrastruktur,</w:t>
      </w:r>
    </w:p>
    <w:p>
      <w:pPr>
        <w:ind w:left="420"/>
      </w:pPr>
      <w:r>
        <w:t xml:space="preserve">5. Bildungs-, Betreuungs- und Wissenschaftsinfrastruktur,</w:t>
      </w:r>
    </w:p>
    <w:p>
      <w:pPr>
        <w:ind w:left="420"/>
      </w:pPr>
      <w:r>
        <w:t xml:space="preserve">6. Forschung und Entwicklung,</w:t>
      </w:r>
    </w:p>
    <w:p>
      <w:pPr>
        <w:ind w:left="420"/>
      </w:pPr>
      <w:r>
        <w:t xml:space="preserve">7. Digitalisierung,</w:t>
      </w:r>
    </w:p>
    <w:p>
      <w:pPr>
        <w:ind w:left="420"/>
      </w:pPr>
      <w:r>
        <w:t xml:space="preserve">8. Bauen und Wohnen sowie</w:t>
      </w:r>
    </w:p>
    <w:p>
      <w:pPr>
        <w:ind w:left="420"/>
      </w:pPr>
      <w:r>
        <w:t xml:space="preserve">9. Sport.</w:t>
      </w:r>
    </w:p>
    <w:p>
      <w:r>
        <w:t xml:space="preserve">(2) Für zusätzliche Investitionen zur Erreichung der Klimaneutralität bis zum Jahr 2045 führt das Sondervermögen dem Klima- und Transformationsfonds insgesamt 100 Milliarden Euro in zehn gleichmäßigen, jährlichen Tranchen bis einschließlich zum Jahr 2034 zu.</w:t>
      </w:r>
    </w:p>
    <w:p>
      <w:r>
        <w:t xml:space="preserve">(3) Zusätzlich sind die Investitionen nach den Absätzen 1 und 2 dann, wenn die im jeweiligen Haushaltsjahr im Bundeshaushalt insgesamt veranschlagten Ausgaben für Investitionen im Sinne von § 13 Absatz 3 Nummer 2 Satz 2 der Bundeshaushaltsordnung 10 Prozent der veranschlagten Ausgaben im Bundeshaushalt übersteigen. Dabei werden die im jeweiligen Bundeshaushalt veranschlagten Ausgaben für Investitionen im Sinne von § 13 Absatz 3 Nummer 2 Satz 2 der Bundeshaushaltsordnung um ausgabenseitige finanzielle Transaktionen bereinigt; die veranschlagten Ausgaben im Bundeshaushalt werden um den Betrag gemäß Artikel 115 Absatz 2 Satz 4 des Grundgesetzes sowie um ausgabenseitige finanzielle Transaktionen bereinigt.</w:t>
      </w:r>
    </w:p>
    <w:p>
      <w:r>
        <w:rPr>
          <w:color w:val="555555"/>
          <w:sz w:val="17"/>
        </w:rPr>
        <w:t xml:space="preserve">Zitiervorschlag: § 4 SVIKG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https://recht.nulegal.eu/gesetze/SVIKG/4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