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SVIKG — Inkrafttreten</w:t>
      </w:r>
    </w:p>
    <w:p>
      <w:r>
        <w:rPr>
          <w:color w:val="555555"/>
          <w:sz w:val="18"/>
        </w:rPr>
        <w:t xml:space="preserve">Gesetz zur Errichtung eines Sondervermögens Infrastruktur und Klimaneutralität</w:t>
      </w:r>
    </w:p>
    <w:p>
      <w:r>
        <w:rPr>
          <w:color w:val="555555"/>
          <w:sz w:val="18"/>
        </w:rPr>
        <w:t xml:space="preserve">Stand: 03.10.2025 (konsolidierte Textfassung, kein amtliches Inkrafttretensdatum)</w:t>
      </w:r>
    </w:p>
    <w:p>
      <w:r>
        <w:t xml:space="preserve">Dieses Gesetz tritt mit Wirkung vom 1. Januar 2025 in Kraft.</w:t>
      </w:r>
    </w:p>
    <w:p>
      <w:r>
        <w:rPr>
          <w:color w:val="555555"/>
          <w:sz w:val="17"/>
        </w:rPr>
        <w:t xml:space="preserve">Zitiervorschlag: § 12 SVIKG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https://recht.nulegal.eu/gesetze/SVIKG/12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