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SVIKG — Laufzeit, Auflösung und Tilgungsplan</w:t>
      </w:r>
    </w:p>
    <w:p>
      <w:r>
        <w:rPr>
          <w:color w:val="555555"/>
          <w:sz w:val="18"/>
        </w:rPr>
        <w:t xml:space="preserve">Gesetz zur Errichtung eines Sondervermögens Infrastruktur und Klimaneutralität</w:t>
      </w:r>
    </w:p>
    <w:p>
      <w:r>
        <w:rPr>
          <w:color w:val="555555"/>
          <w:sz w:val="18"/>
        </w:rPr>
        <w:t xml:space="preserve">Stand: 03.10.2025 (konsolidierte Textfassung, kein amtliches Inkrafttretensdatum)</w:t>
      </w:r>
    </w:p>
    <w:p>
      <w:r>
        <w:t xml:space="preserve">(1) Aus dem Sondervermögen dürfen nur Investitionen finanziert werden, die bis zum Ablauf des 31. Dezember 2036 bewilligt werden.</w:t>
      </w:r>
    </w:p>
    <w:p>
      <w:r>
        <w:t xml:space="preserve">(2) Das Sondervermögen ist nach Erfüllung seines Zwecks aufzulösen. Die Auflösung ist im Bundesanzeiger bekannt zu geben. Verbleibendes Vermögen sowie Schulden fallen dem Bund zu.</w:t>
      </w:r>
    </w:p>
    <w:p>
      <w:r>
        <w:t xml:space="preserve">(3) Nach vollständiger Inanspruchnahme der Kreditermächtigung im Sondervermögen, spätestens ab dem 1. Januar 2044, sind die vom Sondervermögen aufgenommenen Kredite innerhalb eines angemessenen Zeitraums zurückzuführen.</w:t>
      </w:r>
    </w:p>
    <w:p>
      <w:r>
        <w:rPr>
          <w:color w:val="555555"/>
          <w:sz w:val="17"/>
        </w:rPr>
        <w:t xml:space="preserve">Zitiervorschlag: § 11 SVIKG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https://recht.nulegal.eu/gesetze/SVIKG/11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