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SVHV</w:t>
      </w:r>
    </w:p>
    <w:p>
      <w:r>
        <w:rPr>
          <w:color w:val="555555"/>
          <w:sz w:val="18"/>
        </w:rPr>
        <w:t xml:space="preserve">Verordnung über das Haushaltswesen in der Sozialversicherung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78 des Vierten Buches Sozialgesetzbuch (Artikel I des Gesetzes vom 23. Dezember 1976, BGBl. I S. 3845) sowie, jeweils in Verbindung mit dem eingangs genannten § 78, auf Grund</w:t>
      </w:r>
    </w:p>
    <w:p>
      <w:pPr>
        <w:ind w:left="420"/>
      </w:pPr>
      <w:r>
        <w:t xml:space="preserve">- des § 368k Abs. 3 Satz 5 und des § 414 Abs. 4 Satz 4 der Reichsversicherungsordnung in der im Bundesgesetzblatt Teil III, Gliederungsnummer 820-1, veröffentlichten bereinigten Fassung, die durch Artikel II § 1 Nr. 5 und 7 des eingangs genannten Gesetzes neu gefaßt worden sind,</w:t>
      </w:r>
    </w:p>
    <w:p>
      <w:pPr>
        <w:ind w:left="420"/>
      </w:pPr>
      <w:r>
        <w:t xml:space="preserve">- des § 22 Abs. 5 Satz 3 des Gesetzes über eine Altershilfe für Landwirte in der Fassung der Bekanntmachung vom 14. September 1965 (BGBl. I S. 1448), der durch Artikel II § 4 Nr. 4 des eingangs genannten Gesetzes angefügt worden ist, und</w:t>
      </w:r>
    </w:p>
    <w:p>
      <w:pPr>
        <w:ind w:left="420"/>
      </w:pPr>
      <w:r>
        <w:t xml:space="preserve">- des § 56 Abs. 1 Satz 4 des Gesetzes über die Krankenversicherung der Landwirte vom 10. August 1972 (BGBl. I S. 1433), der durch Artikel II § 5 Nr. 3 des eingangs genannten Gesetzes angefügt worden ist,</w:t>
      </w:r>
    </w:p>
    <w:p>
      <w:r>
        <w:t xml:space="preserve">verordnet die Bundesregierung mit Zustimmung des Bundesrates:</w:t>
      </w:r>
    </w:p>
    <w:p>
      <w:r>
        <w:rPr>
          <w:color w:val="555555"/>
          <w:sz w:val="17"/>
        </w:rPr>
        <w:t xml:space="preserve">Zitiervorschlag: Eingangsformel SVHV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https://recht.nulegal.eu/gesetze/SVHV/eingangsformel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