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SVHV — Verpflichtungsermächtigungen</w:t>
      </w:r>
    </w:p>
    <w:p>
      <w:r>
        <w:rPr>
          <w:color w:val="555555"/>
          <w:sz w:val="18"/>
        </w:rPr>
        <w:t xml:space="preserve">Verordnung über das Haushaltswesen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Verpflichtungsermächtigungen sind zu veranschlagen, wenn die Ermächtigung zum Eingehen von Verpflichtungen, die zu Ausgaben in künftigen Jahren führen können, erst durch den Haushaltsplan begründet werden soll (§ 75 Abs. 1 Satz 1 des Vierten Buches Sozialgesetzbuch). Für bereits eingegangene Verpflichtungen dürfen Verpflichtungsermächtigungen nicht veranschlagt werden.</w:t>
      </w:r>
    </w:p>
    <w:p>
      <w:r>
        <w:t xml:space="preserve">(2) Die Verpflichtungsermächtigungen sind bei den jeweiligen Ausgaben gesondert zu veranschlagen. Wenn Verpflichtungen zu Lasten mehrerer Haushaltsjahre eingegangen werden können, sollen die Jahresbeträge im Haushaltsplan angegeben werden.</w:t>
      </w:r>
    </w:p>
    <w:p>
      <w:r>
        <w:t xml:space="preserve">(3) Einer Veranschlagung von Verpflichtungsermächtigungen bedarf es insbesondere nicht</w:t>
      </w:r>
    </w:p>
    <w:p>
      <w:pPr>
        <w:ind w:left="420"/>
      </w:pPr>
      <w:r>
        <w:t xml:space="preserve">1. für das Eingehen von Verpflichtungen zur Leistung von Personalausgaben</w:t>
      </w:r>
    </w:p>
    <w:p>
      <w:pPr>
        <w:ind w:left="420"/>
      </w:pPr>
      <w:r>
        <w:t xml:space="preserve">2. für den Abschluß von Tarifverträgen sowie Verträgen über die kassenärztliche Versorgung</w:t>
      </w:r>
    </w:p>
    <w:p>
      <w:pPr>
        <w:ind w:left="420"/>
      </w:pPr>
      <w:r>
        <w:t xml:space="preserve">3. für die Übernahme von Hypotheken, Grund- und Rentenschulden unter Anrechnung auf den Kaufpreis von Grundstücken.</w:t>
      </w:r>
    </w:p>
    <w:p>
      <w:r>
        <w:rPr>
          <w:color w:val="555555"/>
          <w:sz w:val="17"/>
        </w:rPr>
        <w:t xml:space="preserve">Zitiervorschlag: § 6 SVHV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https://recht.nulegal.eu/gesetze/SVHV/6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