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SVHV — Vermögensrechnung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Vermögensrechnung sind der Bestand des Vermögens und der Schulden zu Beginn des Haushaltsjahrs, die wesentlichen Veränderungen während des Haushaltsjahrs und der Bestand zum Ende des Haushaltsjahrs nachzuweisen.</w:t>
      </w:r>
    </w:p>
    <w:p>
      <w:r>
        <w:t xml:space="preserve">(2) Stellt der Versicherungsträger eine Bilanz auf, tritt diese an die Stelle der Vermögensrechnung. Die wesentlichen Veränderungen während des Haushaltsjahrs sind nicht nachzuweisen, solange dies einen erheblichen verwaltungsmäßigen Mehraufwand erfordert.</w:t>
      </w:r>
    </w:p>
    <w:p>
      <w:r>
        <w:rPr>
          <w:color w:val="555555"/>
          <w:sz w:val="17"/>
        </w:rPr>
        <w:t xml:space="preserve">Zitiervorschlag: § 29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