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 SVHV — Gliederung der Haushaltsrechnung</w:t>
      </w:r>
    </w:p>
    <w:p>
      <w:r>
        <w:rPr>
          <w:color w:val="555555"/>
          <w:sz w:val="18"/>
        </w:rPr>
        <w:t xml:space="preserve">Verordnung über das Haushaltswesen in der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Haushaltsrechnung sind Einnahmen und Ausgaben in der Gliederung des von den Versicherungsträgern jeweils angewandten Kontenrahmens den Ansätzen des Haushaltsplans unter Berücksichtigung der Haushaltsreste und der Vorgriffe gegenüberzustellen. § 5 Abs. 1 und 2 gilt entsprechend.</w:t>
      </w:r>
    </w:p>
    <w:p>
      <w:r>
        <w:t xml:space="preserve">(2) Mehr- und Minderausgaben sowie Mindereinnahmen sind, soweit erforderlich, zu erläutern.</w:t>
      </w:r>
    </w:p>
    <w:p>
      <w:r>
        <w:rPr>
          <w:color w:val="555555"/>
          <w:sz w:val="17"/>
        </w:rPr>
        <w:t xml:space="preserve">Zitiervorschlag: § 28 SVHV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https://recht.nulegal.eu/gesetze/SVHV/28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