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SVHV — Jahresrechnung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Jahresrechnung umfaßt die Haushaltsrechnung (§ 28) und die Vermögensrechnung (§ 29).</w:t>
      </w:r>
    </w:p>
    <w:p>
      <w:r>
        <w:t xml:space="preserve">(2) Eigenbetriebe, die gemäß § 26a nach den Regeln der kaufmännischen doppelten Buchführung buchen, stellen einen Jahresabschluss sowie einen Lagebericht in entsprechender Anwendung der Vorschriften des § 264 Abs. 1 Satz 1 Handelsgesetzbuch auf.</w:t>
      </w:r>
    </w:p>
    <w:p>
      <w:r>
        <w:rPr>
          <w:color w:val="555555"/>
          <w:sz w:val="17"/>
        </w:rPr>
        <w:t xml:space="preserve">Zitiervorschlag: § 27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