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26a SVHV — Buchführung der Eigenbetriebe</w:t>
      </w:r>
    </w:p>
    <w:p>
      <w:r>
        <w:rPr>
          <w:color w:val="555555"/>
          <w:sz w:val="18"/>
        </w:rPr>
        <w:t xml:space="preserve">Verordnung über das Haushaltswesen in der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Eigenbetriebe, die nach § 12 einen Wirtschaftsplan aufstellen, haben nach den Regeln der kaufmännischen doppelten Buchführung zu buchen.</w:t>
      </w:r>
    </w:p>
    <w:p>
      <w:r>
        <w:rPr>
          <w:color w:val="555555"/>
          <w:sz w:val="17"/>
        </w:rPr>
        <w:t xml:space="preserve">Zitiervorschlag: § 26a SVHV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https://recht.nulegal.eu/gesetze/SVHV/26a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