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SVHV — Veräußerung von Vermögensgegenständen</w:t>
      </w:r>
    </w:p>
    <w:p>
      <w:r>
        <w:rPr>
          <w:color w:val="555555"/>
          <w:sz w:val="18"/>
        </w:rPr>
        <w:t xml:space="preserve">Verordnung über das Haushaltswesen in der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Vermögensgegenstände dürfen nur veräußert werden, wenn sie zur Erfüllung der Aufgaben des Versicherungsträgers in absehbarer Zeit nicht benötigt werden.</w:t>
      </w:r>
    </w:p>
    <w:p>
      <w:r>
        <w:t xml:space="preserve">(2) Vermögensgegenstände dürfen nicht unter ihrem Verkehrswert veräußert werden. Ausnahmen können im Haushaltsplan zugelassen werden.</w:t>
      </w:r>
    </w:p>
    <w:p>
      <w:r>
        <w:t xml:space="preserve">(3) Ist der Wert gering oder besteht ein dringendes Interesse des Versicherungsträgers an der Veräußerung, so kann der Vorstand Ausnahmen zulassen.</w:t>
      </w:r>
    </w:p>
    <w:p>
      <w:r>
        <w:t xml:space="preserve">(4) Für die Überlassung der Nutzung eines Vermögensgegenstands gelten die Absätze 1 bis 3 entsprechend.</w:t>
      </w:r>
    </w:p>
    <w:p>
      <w:r>
        <w:rPr>
          <w:color w:val="555555"/>
          <w:sz w:val="17"/>
        </w:rPr>
        <w:t xml:space="preserve">Zitiervorschlag: § 24 SVHV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https://recht.nulegal.eu/gesetze/SVHV/24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