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SVHV — Baumaßnahmen, größere Beschaffungen, größere Entwicklungsvorhaben</w:t>
      </w:r>
    </w:p>
    <w:p>
      <w:r>
        <w:rPr>
          <w:color w:val="555555"/>
          <w:sz w:val="18"/>
        </w:rPr>
        <w:t xml:space="preserve">Verordnung über das Haushaltswesen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Baumaßnahmen, die nach § 85 Abs. 2 des Vierten Buches Sozialgesetzbuch genehmigungspflichtig sind, dürfen nur begonnen werden, wenn ausführliche Entwurfszeichnungen und Kostenberechnungen vorliegen. Von den in § 11 bezeichneten Unterlagen darf nur insoweit abgewichen werden, als die Änderung nicht erheblich ist; weitergehende Ausnahmen können durch den Vorstand zugelassen werden. Das Genehmigungsverfahren nach § 85 des Vierten Buches Sozialgesetzbuch bleibt unberührt.</w:t>
      </w:r>
    </w:p>
    <w:p>
      <w:r>
        <w:t xml:space="preserve">(2) Größeren Beschaffungen und größeren Entwicklungsvorhaben sind ausreichende Unterlagen zugrunde zu legen.</w:t>
      </w:r>
    </w:p>
    <w:p>
      <w:r>
        <w:rPr>
          <w:color w:val="555555"/>
          <w:sz w:val="17"/>
        </w:rPr>
        <w:t xml:space="preserve">Zitiervorschlag: § 21 SVHV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https://recht.nulegal.eu/gesetze/SVHV/21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