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SVHV — Überplanmäßige und außerplanmäßige Ausgaben</w:t>
      </w:r>
    </w:p>
    <w:p>
      <w:r>
        <w:rPr>
          <w:color w:val="555555"/>
          <w:sz w:val="18"/>
        </w:rPr>
        <w:t xml:space="preserve">Verordnung über das Haushaltswesen in der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Überplanmäßige Ausgaben bei gesetzlich oder satzungsmäßig vorgesehenen Leistungsausgaben können unabhängig von ihrer Höhe durch den Vorstand nach § 73 Abs. 1 des Vierten Buches Sozialgesetzbuch bewilligt werden.</w:t>
      </w:r>
    </w:p>
    <w:p>
      <w:r>
        <w:t xml:space="preserve">(2) Mehrausgaben bei übertragbaren Ausgaben (Vorgriffe) sind unter den Voraussetzungen des § 73 des Vierten Buches Sozialgesetzbuch auf die nächste Bewilligung für den gleichen Zweck anzurechnen. Der Vorstand kann Ausnahmen zulassen.</w:t>
      </w:r>
    </w:p>
    <w:p>
      <w:r>
        <w:rPr>
          <w:color w:val="555555"/>
          <w:sz w:val="17"/>
        </w:rPr>
        <w:t xml:space="preserve">Zitiervorschlag: § 15 SVHV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https://recht.nulegal.eu/gesetze/SVHV/15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