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SVHV — Sperrvermerk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Ausgaben, die aus besonderen Gründen zunächst noch nicht geleistet oder zu deren Lasten noch keine Verpflichtungen eingegangen werden sollen, sind im Haushaltsplan als gesperrt zu bezeichnen. Entsprechendes gilt für Verpflichtungsermächtigungen.</w:t>
      </w:r>
    </w:p>
    <w:p>
      <w:r>
        <w:t xml:space="preserve">(2) In Ausnahmefällen kann durch Sperrvermerk bestimmt werden, daß die Leistung von Ausgaben oder die Inanspruchnahme von Verpflichtungsermächtigungen der Einwilligung der Vertreterversammlung oder eines Ausschusses der Vertreterversammlung im Sinne des § 66 Abs. 1 des Vierten Buches Sozialgesetzbuch bedarf. Soweit im Bereich der gesetzlichen Krankenversicherung ein Verwaltungsrat besteht, tritt dieser an die Stelle der Vertreterversammlung.</w:t>
      </w:r>
    </w:p>
    <w:p>
      <w:r>
        <w:rPr>
          <w:color w:val="555555"/>
          <w:sz w:val="17"/>
        </w:rPr>
        <w:t xml:space="preserve">Zitiervorschlag: § 10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