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SVG-KOV-AnpV 2024</w:t>
      </w:r>
    </w:p>
    <w:p>
      <w:r>
        <w:rPr>
          <w:color w:val="555555"/>
          <w:sz w:val="18"/>
        </w:rPr>
        <w:t xml:space="preserve">SVG-KOV-Anpassungsverordnung 2024</w:t>
      </w:r>
    </w:p>
    <w:p>
      <w:r>
        <w:rPr>
          <w:color w:val="555555"/>
          <w:sz w:val="18"/>
        </w:rPr>
        <w:t xml:space="preserve">Historische Fassung: Stand 01.07.2024 bis 01.01.2025. Dies ist nicht die aktuelle Fassung.</w:t>
      </w:r>
    </w:p>
    <w:p>
      <w:r>
        <w:t xml:space="preserve">Auf Grund des § 108 Absatz 3 des Soldatenversorgungsgesetzes, der durch Artikel 3 Nummer 2 des Gesetzes vom 20. August 2021 (BGBl. I S. 3932, 3957) eingefügt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SVG-KOV-AnpV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https://recht.nulegal.eu/gesetze/SVG-KOV-AnpV%202024/eingangsformel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