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SVG§63V — Besonders gefährlicher Auftrag, Flug- oder Betriebszustand</w:t>
      </w:r>
    </w:p>
    <w:p>
      <w:r>
        <w:rPr>
          <w:color w:val="555555"/>
          <w:sz w:val="18"/>
        </w:rPr>
        <w:t xml:space="preserve">Soldaten-Unfallentschädigungsverordnung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besonders gefährlicher Auftrag (§ 2 Abs. 2 Nr. 5) liegt vor bei vorgeschriebenen Flügen</w:t>
      </w:r>
    </w:p>
    <w:p>
      <w:pPr>
        <w:ind w:left="420"/>
      </w:pPr>
      <w:r>
        <w:t xml:space="preserve">1. in einer Flughöhe von weniger als 500 Meter über Grund,</w:t>
      </w:r>
    </w:p>
    <w:p>
      <w:pPr>
        <w:ind w:left="420"/>
      </w:pPr>
      <w:r>
        <w:t xml:space="preserve">2. mit Verlastung oder Abwurf von Gegenständen,</w:t>
      </w:r>
    </w:p>
    <w:p>
      <w:pPr>
        <w:ind w:left="420"/>
      </w:pPr>
      <w:r>
        <w:t xml:space="preserve">3. als Luftzielschleppflugzeug während des Beschusses,</w:t>
      </w:r>
    </w:p>
    <w:p>
      <w:pPr>
        <w:ind w:left="420"/>
      </w:pPr>
      <w:r>
        <w:t xml:space="preserve">4. im Luftrettungseinsatz, dessen Durchführung mit einer besonderen Lebensgefahr verbunden ist,</w:t>
      </w:r>
    </w:p>
    <w:p>
      <w:pPr>
        <w:ind w:left="420"/>
      </w:pPr>
      <w:r>
        <w:t xml:space="preserve">5. im Langsamflug, Kunstflug oder Verbandsflug,</w:t>
      </w:r>
    </w:p>
    <w:p>
      <w:pPr>
        <w:ind w:left="420"/>
      </w:pPr>
      <w:r>
        <w:t xml:space="preserve">6. zur Durchführung von Messungen im Rahmen der Flugsicherung oder Wettererkundung (Meßflug),</w:t>
      </w:r>
    </w:p>
    <w:p>
      <w:pPr>
        <w:ind w:left="420"/>
      </w:pPr>
      <w:r>
        <w:t xml:space="preserve">7. im Gebirge bei einem seitlichen Abstand von weniger als 20 Meter zu einer Steilwand,</w:t>
      </w:r>
    </w:p>
    <w:p>
      <w:pPr>
        <w:ind w:left="420"/>
      </w:pPr>
      <w:r>
        <w:t xml:space="preserve">8. zur Erprobung oder zum Nachfliegen von neuen Luftfahrzeugtypen oder Luftfahrzeugen im Rahmen einer beabsichtigten Änderung des bisherigen Verwendungszwecks,</w:t>
      </w:r>
    </w:p>
    <w:p>
      <w:pPr>
        <w:ind w:left="420"/>
      </w:pPr>
      <w:r>
        <w:t xml:space="preserve">9. zur Abnahme von neuen Luftfahrzeugen,</w:t>
      </w:r>
    </w:p>
    <w:p>
      <w:pPr>
        <w:ind w:left="420"/>
      </w:pPr>
      <w:r>
        <w:t xml:space="preserve">10. zur Überprüfung von überholten Luftfahrzeugen oder neuen oder erneuerten wesentlichen Luftfahrzeugteilen,</w:t>
      </w:r>
    </w:p>
    <w:p>
      <w:pPr>
        <w:ind w:left="420"/>
      </w:pPr>
      <w:r>
        <w:t xml:space="preserve">11. zur Durchführung von Triebwerks- und Geräteerprobungen.</w:t>
      </w:r>
    </w:p>
    <w:p>
      <w:r>
        <w:t xml:space="preserve">(2) Einem besonders gefährlichen Auftrag im Sinne des Absatzes 1 Nr. 1, 4, 5 und 7 stehen die Fälle gleich, in denen sich abweichend von dem erteilten Flugauftrag die Notwendigkeit der dort bezeichneten Flugarten erst nach dem Start auf Grund der die Flugbedingungen beeinflussenden Umstände ergibt.</w:t>
      </w:r>
    </w:p>
    <w:p>
      <w:r>
        <w:t xml:space="preserve">(3) Ein besonders gefährlicher Flug- oder Betriebszustand (§ 2 Abs. 2 Nr. 6) liegt vor</w:t>
      </w:r>
    </w:p>
    <w:p>
      <w:pPr>
        <w:ind w:left="420"/>
      </w:pPr>
      <w:r>
        <w:t xml:space="preserve">1. für die Dauer des Start- und Landevorgangs (§ 1 Abs. 2),</w:t>
      </w:r>
    </w:p>
    <w:p>
      <w:pPr>
        <w:ind w:left="420"/>
      </w:pPr>
      <w:r>
        <w:t xml:space="preserve">2. für die Dauer eines zur Durchführung des Flugauftrags notwendigen Durchfliegens von Schlechtwettergebieten, wenn das Luftfahrzeug nach Instrumentenflugregeln fliegen muß,</w:t>
      </w:r>
    </w:p>
    <w:p>
      <w:pPr>
        <w:ind w:left="420"/>
      </w:pPr>
      <w:r>
        <w:t xml:space="preserve">3. wenn das Luftfahrzeug steuerungsunfähig ist.</w:t>
      </w:r>
    </w:p>
    <w:p>
      <w:r>
        <w:rPr>
          <w:color w:val="555555"/>
          <w:sz w:val="17"/>
        </w:rPr>
        <w:t xml:space="preserve">Zitiervorschlag: § 3 SVG§63V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https://recht.nulegal.eu/gesetze/SVG%C2%A763V/3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