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SVG 2025 — Anlage I Kapitel XIX Sachgebiet B Abschnitt III des Einigungsvertrags</w:t>
      </w:r>
    </w:p>
    <w:p>
      <w:r>
        <w:rPr>
          <w:color w:val="555555"/>
          <w:sz w:val="18"/>
        </w:rPr>
        <w:t xml:space="preserve">Soldatenversorgungsgesetz</w:t>
      </w:r>
    </w:p>
    <w:p>
      <w:r>
        <w:rPr>
          <w:color w:val="555555"/>
          <w:sz w:val="18"/>
        </w:rPr>
        <w:t xml:space="preserve">Stand: 01.01.2025 (konsolidierte Textfassung, kein amtliches Inkrafttretensdatum)</w:t>
      </w:r>
    </w:p>
    <w:p>
      <w:r>
        <w:t xml:space="preserve">(Fundstelle: BGBl. I 2021, 4009 - 4010)</w:t>
      </w:r>
    </w:p>
    <w:p>
      <w:r>
        <w:t xml:space="preserve">(BGBl. II 1990, 889, 1146)</w:t>
      </w:r>
    </w:p>
    <w:p>
      <w:r>
        <w:t xml:space="preserve">– Auszug –</w:t>
      </w:r>
    </w:p>
    <w:p>
      <w:r>
        <w:t xml:space="preserve">Abschnitt III</w:t>
      </w:r>
    </w:p>
    <w:p>
      <w:r>
        <w:t xml:space="preserve">Bundesrecht tritt in dem in Artikel 3 des Vertrages genannten Gebiet mit folgenden Maßgaben in Kraft: …</w:t>
      </w:r>
    </w:p>
    <w:p>
      <w:pPr>
        <w:ind w:left="420"/>
      </w:pPr>
      <w:r>
        <w:t xml:space="preserve">5. Soldatenversorgungsgesetz in der Fassung der Bekanntmachung vom 5. März 1987 (BGBl. I S. 842), zuletzt geändert durch Artikel 4 des Gesetzes vom 26. Juni 1990 (BGBl. I S. 1211),mit folgenden Maßgaben:</w:t>
      </w:r>
    </w:p>
    <w:p>
      <w:pPr>
        <w:ind w:left="780"/>
      </w:pPr>
      <w:r>
        <w:t xml:space="preserve">a) Das Gesetz findet in der ab 1. Januar 1992 geltenden Fassung Anwendung.</w:t>
      </w:r>
    </w:p>
    <w:p>
      <w:pPr>
        <w:ind w:left="780"/>
      </w:pPr>
      <w:r>
        <w:t xml:space="preserve">b) Das Gesetz findet nicht Anwendung auf Soldaten, die aus einem Wehrdienstverhältnis der ehemaligen Nationalen Volksarmee ausgeschieden sind, und auf Soldaten auf Zeit und Berufssoldaten der ehemaligen Nationalen Volksarmee, die auf Grund der Regelung in Abschnitt II Nummer 2 § 1 dieser Anlage Soldaten der Bundeswehr sind und für die weder ein Dienstverhältnis als Soldat auf Zeit mit einer Wehrdienstzeit von mehr als zwei Jahren noch ein solches als Berufssoldat der Bundeswehr begründet wird; dies gilt nicht für die Beschädigtenversorgung von Soldaten, die nach Wirksamwerden des Beitritts eine Wehrdienstbeschädigung erleiden.</w:t>
      </w:r>
    </w:p>
    <w:p>
      <w:pPr>
        <w:ind w:left="780"/>
      </w:pPr>
      <w:r>
        <w:t xml:space="preserve">c) (gegenstandslos)</w:t>
      </w:r>
    </w:p>
    <w:p>
      <w:pPr>
        <w:ind w:left="780"/>
      </w:pPr>
      <w:r>
        <w:t xml:space="preserve">d) Nicht anzuwenden sind die Vorschriften des § 43 des Soldatenversorgungsgesetzes in Verbindung mit § 86 des Beamtenversorgungsgesetzes sowie der §§ 64, 67 bis 79, 91, 94 bis 94c und des § 97 des Soldatenversorgungsgesetzes.</w:t>
      </w:r>
    </w:p>
    <w:p>
      <w:r>
        <w:rPr>
          <w:color w:val="555555"/>
          <w:sz w:val="17"/>
        </w:rPr>
        <w:t xml:space="preserve">Zitiervorschlag: Anlage SVG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https://recht.nulegal.eu/gesetze/SVG%202025/anlage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