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97 SVG 2025 — Kindererziehungsergänzungszuschlag</w:t>
      </w:r>
    </w:p>
    <w:p>
      <w:r>
        <w:rPr>
          <w:color w:val="555555"/>
          <w:sz w:val="18"/>
        </w:rPr>
        <w:t xml:space="preserve">Soldatenversorgungsgesetz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(1) Das Ruhegehalt erhöht sich um einen Kindererziehungsergänzungszuschlag, wenn</w:t>
      </w:r>
    </w:p>
    <w:p>
      <w:pPr>
        <w:ind w:left="420"/>
      </w:pPr>
      <w:r>
        <w:t xml:space="preserve">1. nach dem 31. Dezember 1991 liegende Zeiten der Erziehung eines Kindes bis zur Vollendung des zehnten Lebensjahres oder Zeiten der nichterwerbsmäßigen Pflege eines pflegebedürftigen Kindes (§ 3 des Sechsten Buches Sozialgesetzbuch) bis zur Vollendung des 18. Lebensjahres</w:t>
      </w:r>
    </w:p>
    <w:p>
      <w:pPr>
        <w:ind w:left="780"/>
      </w:pPr>
      <w:r>
        <w:t xml:space="preserve">a) mit entsprechenden Zeiten für ein anderes Kind zusammentreffen oder</w:t>
      </w:r>
    </w:p>
    <w:p>
      <w:pPr>
        <w:ind w:left="780"/>
      </w:pPr>
      <w:r>
        <w:t xml:space="preserve">b) mit Zeiten im Soldatenverhältnis, die als ruhegehaltfähig berücksichtigt werden, oder Zeiten nach § 99 Absatz 1 Satz 1 zusammentreffen und</w:t>
      </w:r>
    </w:p>
    <w:p>
      <w:pPr>
        <w:ind w:left="420"/>
      </w:pPr>
      <w:r>
        <w:t xml:space="preserve">2. für diese Zeiten kein Anspruch nach § 70 Absatz 3a Satz 2 des Sechsten Buches Sozialgesetzbuch besteht und</w:t>
      </w:r>
    </w:p>
    <w:p>
      <w:pPr>
        <w:ind w:left="420"/>
      </w:pPr>
      <w:r>
        <w:t xml:space="preserve">3. der Berufssoldatin oder dem Berufssoldaten die Zeiten nach § 96 Absatz 3 zuzuordnen sind.</w:t>
      </w:r>
    </w:p>
    <w:p>
      <w:r>
        <w:t xml:space="preserve">Der Kindererziehungsergänzungszuschlag wird nicht für Zeiten gewährt, für die ein Kindererziehungszuschlag zusteht.</w:t>
      </w:r>
    </w:p>
    <w:p>
      <w:r>
        <w:t xml:space="preserve">(2) Die Höhe des Kindererziehungsergänzungszuschlags entspricht für jeden angefangenen Monat, in dem die Voraussetzungen nach Absatz 1 erfüllt waren,</w:t>
      </w:r>
    </w:p>
    <w:p>
      <w:pPr>
        <w:ind w:left="420"/>
      </w:pPr>
      <w:r>
        <w:t xml:space="preserve">1. im Falle des Absatzes 1 Satz 1 Nummer 1 Buchstabe a dem in § 70 Absatz 3a Satz 2 Buchstabe b des Sechsten Buches Sozialgesetzbuch bestimmten Bruchteil des aktuellen Rentenwerts,</w:t>
      </w:r>
    </w:p>
    <w:p>
      <w:pPr>
        <w:ind w:left="420"/>
      </w:pPr>
      <w:r>
        <w:t xml:space="preserve">2. im Falle des Absatzes 1 Satz 1 Nummer 1 Buchstabe b einem Bruchteil in Höhe von 0,0208 des aktuellen Rentenwerts.</w:t>
      </w:r>
    </w:p>
    <w:p>
      <w:r>
        <w:t xml:space="preserve">(3) § 96 Absatz 5 gilt entsprechend mit der Maßgabe, dass in Satz 1 neben dem Kindererziehungszuschlag der Kindererziehungsergänzungszuschlag und eine Leistung nach § 99 Absatz 1 sowie bei der Ermittlung der Höchstgrenze an die Stelle des in Satz 2 genannten Höchstwerts an Entgeltpunkten der in § 70 Absatz 2 Satz 1 des Sechsten Buches Sozialgesetzbuch bestimmte Bruchteil des aktuellen Rentenwerts für jeden Monat des Zusammentreffens der Leistungen tritt. § 96 Absatz 6 und 7 gilt entsprechend.</w:t>
      </w:r>
    </w:p>
    <w:p>
      <w:r>
        <w:rPr>
          <w:color w:val="555555"/>
          <w:sz w:val="17"/>
        </w:rPr>
        <w:t xml:space="preserve">Zitiervorschlag: § 97 SVG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https://recht.nulegal.eu/gesetze/SVG%202025/97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