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SVG 2025 — Zeiten eines sonstigen hauptberuflichen Dienstes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Zeit, während der eine Berufssoldatin oder ein Berufssoldat vor ihrem oder seinem Eintritt in die Bundeswehr</w:t>
      </w:r>
    </w:p>
    <w:p>
      <w:pPr>
        <w:ind w:left="420"/>
      </w:pPr>
      <w:r>
        <w:t xml:space="preserve">1. hauptberuflich im Dienst öffentlich-rechtlicher Religionsgesellschaften oder ihrer Verbände (Artikel 140 des Grundgesetzes) oder im öffentlichen oder nichtöffentlichen Schuldienst oder</w:t>
      </w:r>
    </w:p>
    <w:p>
      <w:pPr>
        <w:ind w:left="420"/>
      </w:pPr>
      <w:r>
        <w:t xml:space="preserve">2. hauptberuflich im Dienst der Fraktionen des Bundestages oder der Landtage oder kommunaler Vertretungskörperschaften oder</w:t>
      </w:r>
    </w:p>
    <w:p>
      <w:pPr>
        <w:ind w:left="420"/>
      </w:pPr>
      <w:r>
        <w:t xml:space="preserve">3. hauptberuflich im Dienst von kommunalen Spitzenverbänden oder ihren Landesverbänden sowie von Spitzenverbänden der Sozialversicherung oder ihren Landesverbänden tätig gewesen ist oder</w:t>
      </w:r>
    </w:p>
    <w:p>
      <w:pPr>
        <w:ind w:left="420"/>
      </w:pPr>
      <w:r>
        <w:t xml:space="preserve">4. hauptberuflich im ausländischen öffentlichen Dienst gestanden hat,</w:t>
      </w:r>
    </w:p>
    <w:p>
      <w:r>
        <w:t xml:space="preserve">kann als ruhegehaltfähige Dienstzeit berücksichtigt werden.</w:t>
      </w:r>
    </w:p>
    <w:p>
      <w:r>
        <w:rPr>
          <w:color w:val="555555"/>
          <w:sz w:val="17"/>
        </w:rPr>
        <w:t xml:space="preserve">Zitiervorschlag: § 94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