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93 SVG 2025 — Krankheits- und Gewahrsamszeiten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Als ruhegehaltfähig gilt die Zeit, während der sich eine Berufssoldatin oder ein Berufssoldat vor ihrem oder seinem Eintritt in die Bundeswehr</w:t>
      </w:r>
    </w:p>
    <w:p>
      <w:pPr>
        <w:ind w:left="420"/>
      </w:pPr>
      <w:r>
        <w:t xml:space="preserve">1. insgesamt länger als drei Monate in einem Gewahrsam (§ 1 Absatz 1 Nummer 1 in Verbindung mit § 9 des Häftlingshilfegesetzes in der bis zum 28. Dezember 1991 geltenden Fassung) oder</w:t>
      </w:r>
    </w:p>
    <w:p>
      <w:pPr>
        <w:ind w:left="420"/>
      </w:pPr>
      <w:r>
        <w:t xml:space="preserve">2. auf Grund einer Krankheit oder Verwundung als Folge eines Dienstes im Sinne der §§ 31, 92 Absatz 1 Nummer 2, 4 und 5 oder als Folge eines Gewahrsams im Sinne der Nummer 1 im Anschluss an die Entlassung arbeitsunfähig in einer Heilbehandlung</w:t>
      </w:r>
    </w:p>
    <w:p>
      <w:r>
        <w:t xml:space="preserve">befunden hat.</w:t>
      </w:r>
    </w:p>
    <w:p>
      <w:r>
        <w:rPr>
          <w:color w:val="555555"/>
          <w:sz w:val="17"/>
        </w:rPr>
        <w:t xml:space="preserve">Zitiervorschlag: § 93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