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85a SVG 2025 — Kompensationszahlung für bestimmte Statusgruppen</w:t>
      </w:r>
    </w:p>
    <w:p>
      <w:r>
        <w:rPr>
          <w:color w:val="555555"/>
          <w:sz w:val="18"/>
        </w:rPr>
        <w:t xml:space="preserve">Soldatenversorgungsgesetz</w:t>
      </w:r>
    </w:p>
    <w:p>
      <w:r>
        <w:rPr>
          <w:color w:val="555555"/>
          <w:sz w:val="18"/>
        </w:rPr>
        <w:t xml:space="preserve">Stand: 01.01.2026 (konsolidierte Textfassung, kein amtliches Inkrafttretensdatum)</w:t>
      </w:r>
    </w:p>
    <w:p>
      <w:r>
        <w:t xml:space="preserve">(1) Eine Soldatin oder ein Soldat, die oder der keine Berufssoldatin oder kein Berufssoldat ist, erhält neben der sonstigen Versorgung nach diesem Gesetz eine Kompensationszahlung, wenn sie oder er</w:t>
      </w:r>
    </w:p>
    <w:p>
      <w:pPr>
        <w:ind w:left="420"/>
      </w:pPr>
      <w:r>
        <w:t xml:space="preserve">1. einen Unfall erlitten hat, während sie oder er bei einer Diensthandlung einer besonderen Lebensgefahr ausgesetzt war,</w:t>
      </w:r>
    </w:p>
    <w:p>
      <w:pPr>
        <w:ind w:left="420"/>
      </w:pPr>
      <w:r>
        <w:t xml:space="preserve">2. infolge des Unfalls nach Nummer 1 dienstunfähig geworden ist und</w:t>
      </w:r>
    </w:p>
    <w:p>
      <w:pPr>
        <w:ind w:left="420"/>
      </w:pPr>
      <w:r>
        <w:t xml:space="preserve">3. im Zeitpunkt der Beendigung des Dienstverhältnisses auf Grund des Unfalls nach Nummer 1 in ihrer oder seiner Erwerbsfähigkeit um mindestens 50 Prozent beeinträchtigt ist.</w:t>
      </w:r>
    </w:p>
    <w:p>
      <w:r>
        <w:t xml:space="preserve">(2) Die Kompensationszahlung beträgt 50 000 Euro. Sie erhöht sich für Soldatinnen auf Zeit und Soldaten auf Zeit um 7 500 Euro für jedes vor dem Unfall vollendete Dienstjahr und um 625 Euro für jeden weiteren vor dem Unfall vollendeten Dienstmonat. Für nach § 58b und dem Vierten Abschnitt des Soldatengesetzes Wehrdienstleistende erhöht sich die Kompensationszahlung für jeden vor dem Unfall vollendeten Dienstmonat um 625 Euro. Für Zeiten der Beurlaubung ohne Dienstbezüge oder Wehrsold werden von der Erhöhung für jeweils 30 Tage Urlaub 625 Euro abgezogen. Der Abzug entfällt für die Zeit</w:t>
      </w:r>
    </w:p>
    <w:p>
      <w:pPr>
        <w:ind w:left="420"/>
      </w:pPr>
      <w:r>
        <w:t xml:space="preserve">1. einer Beurlaubung, die öffentlichen Belangen oder dienstlichen Interessen dient,</w:t>
      </w:r>
    </w:p>
    <w:p>
      <w:pPr>
        <w:ind w:left="420"/>
      </w:pPr>
      <w:r>
        <w:t xml:space="preserve">2. einer Elternzeit,</w:t>
      </w:r>
    </w:p>
    <w:p>
      <w:pPr>
        <w:ind w:left="420"/>
      </w:pPr>
      <w:r>
        <w:t xml:space="preserve">3. einer Freistellung wegen Kindererziehung bis zu einer Dauer von drei Jahren für jedes Kind und</w:t>
      </w:r>
    </w:p>
    <w:p>
      <w:pPr>
        <w:ind w:left="420"/>
      </w:pPr>
      <w:r>
        <w:t xml:space="preserve">4. der tatsächlichen Betreuung und Pflege eines nach einem ärztlichen Gutachten pflegebedürftigen Angehörigen.</w:t>
      </w:r>
    </w:p>
    <w:p>
      <w:r>
        <w:t xml:space="preserve">Bei der Berechnung der Erhöhung der Kompensationszahlung bleiben früher abgeleistete Dienstverhältnisse unberücksichtigt.</w:t>
      </w:r>
    </w:p>
    <w:p>
      <w:r>
        <w:t xml:space="preserve">(3) Ist die Soldatin oder der Soldat an den Folgen des Dienstunfalls gestorben und hat sie oder er eine Kompensationszahlung nach Absatz 1 nicht erhalten, steht die Kompensationszahlung dem hinterbliebenen Ehegatten und den nach diesem Gesetz versorgungsberechtigten Kindern zu.</w:t>
      </w:r>
    </w:p>
    <w:p>
      <w:r>
        <w:t xml:space="preserve">(4) Die Kompensationszahlung wird nicht in den Fällen gewährt, in denen Anspruch auf erhöhtes Unfallruhegehalt nach § 42 in Verbindung mit § 37 des Beamtenversorgungsgesetzes oder auf erhöhte Unfall-Hinterbliebenenversorgung nach § 59 in Verbindung mit § 39 des Beamtenversorgungsgesetzes besteht, die sich unter Zugrundelegung des erhöhten Unfallruhegehalts nach § 37 des Beamtenversorgungsgesetzes berechnet.</w:t>
      </w:r>
    </w:p>
    <w:p>
      <w:r>
        <w:t xml:space="preserve">(5) Besteht auf Grund derselben Ursache Anspruch sowohl auf die Ausgleichzahlung nach § 90 des Soldatenversorgungsgesetzes als auch auf die Kompensationszahlung, wird nur die Ausgleichzahlung gewährt.</w:t>
      </w:r>
    </w:p>
    <w:p>
      <w:r>
        <w:rPr>
          <w:color w:val="555555"/>
          <w:sz w:val="17"/>
        </w:rPr>
        <w:t xml:space="preserve">Zitiervorschlag: § 85a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https://recht.nulegal.eu/gesetze/SVG%202025/85a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