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SVG 2025 — Anzeigepflicht</w:t>
      </w:r>
    </w:p>
    <w:p>
      <w:r>
        <w:rPr>
          <w:color w:val="555555"/>
          <w:sz w:val="18"/>
        </w:rPr>
        <w:t xml:space="preserve">Soldatenversorgungsgesetz</w:t>
      </w:r>
    </w:p>
    <w:p>
      <w:r>
        <w:rPr>
          <w:color w:val="555555"/>
          <w:sz w:val="18"/>
        </w:rPr>
        <w:t xml:space="preserve">Stand: 01.01.2026 (konsolidierte Textfassung, kein amtliches Inkrafttretensdatum)</w:t>
      </w:r>
    </w:p>
    <w:p>
      <w:r>
        <w:t xml:space="preserve">(1) Die Beschäftigungsstelle hat der die Versorgungsbezüge anweisenden Stelle (Regelungsbehörde) jede Verwendung einer oder eines Versorgungsberechtigten unter Angabe der gewährten Bezüge, ebenso jede spätere Änderung der Bezüge oder die Zahlungseinstellung sowie die Gewährung einer Versorgung unverzüglich anzuzeigen.</w:t>
      </w:r>
    </w:p>
    <w:p>
      <w:r>
        <w:t xml:space="preserve">(2) Die oder der Versorgungsberechtigte ist verpflichtet, der Regelungsbehörde unverzüglich anzuzeigen:</w:t>
      </w:r>
    </w:p>
    <w:p>
      <w:pPr>
        <w:ind w:left="420"/>
      </w:pPr>
      <w:r>
        <w:t xml:space="preserve">1. die Verlegung des Wohnsitzes,</w:t>
      </w:r>
    </w:p>
    <w:p>
      <w:pPr>
        <w:ind w:left="420"/>
      </w:pPr>
      <w:r>
        <w:t xml:space="preserve">2. den Bezug von Krankengeld der Soldatenentschädigung (§ 16 Absatz 7) und den Bezug und jede Änderung von Einkünften nach § 17 Absatz 1 Satz 2, den §§ 34 und 40 Absatz 6, den §§ 52 und 59 sowie den §§ 68 bis 72 und 80 Absatz 2,</w:t>
      </w:r>
    </w:p>
    <w:p>
      <w:pPr>
        <w:ind w:left="420"/>
      </w:pPr>
      <w:r>
        <w:t xml:space="preserve">3. die Begründung eines neuen öffentlich-rechtlichen Dienstverhältnisses oder eines privatrechtlichen Arbeitsverhältnisses im öffentlichen Dienst in den Fällen des § 52 Absatz 6,</w:t>
      </w:r>
    </w:p>
    <w:p>
      <w:pPr>
        <w:ind w:left="420"/>
      </w:pPr>
      <w:r>
        <w:t xml:space="preserve">4. die Erfüllung der allgemeinen Wartezeit nach dem Sechsten Buch Sozialgesetzbuch,</w:t>
      </w:r>
    </w:p>
    <w:p>
      <w:pPr>
        <w:ind w:left="420"/>
      </w:pPr>
      <w:r>
        <w:t xml:space="preserve">5. den Bezug von beitragspflichtigen Einnahmen zur Sozialversicherung, sofern diese zusammen mit den Übergangsgebührnissen die maßgebliche Beitragsbemessungsgrenze der gesetzlichen Rentenversicherung nach § 159 des Sechsten Buches Sozialgesetzbuch überschreiten.</w:t>
      </w:r>
    </w:p>
    <w:p>
      <w:r>
        <w:t xml:space="preserve">Die Witwe oder der Witwer hat der Regelungsbehörde auch eine erneute Heirat (§ 80 Absatz 1 Satz 1 Nummer 2) sowie im Fall der Auflösung dieser Ehe den Erwerb und jede Änderung eines neuen Versorgungs-, Unterhalts- oder Rentenanspruchs (§ 80 Absatz 3 Satz 1 zweiter Halbsatz) unverzüglich anzuzeigen. Auf Verlangen der Regelungsbehörde ist die oder der Versorgungsberechtigte verpflichtet, Nachweise vorzulegen oder der Erteilung erforderlicher Nachweise oder Auskünfte, die für die Versorgungsbezüge erheblich sind, durch Dritte zuzustimmen. Die Regelungsbehörde oder die für das Bezügezahlungsverfahren zuständige Stelle darf diejenigen Daten übermitteln, die für Datenübermittlungen nach § 69 Absatz 1 Nummer 1 und 2 des Zehnten Buches Sozialgesetzbuch oder nach § 151 des Sechsten Buches Sozialgesetzbuch erforderlich sind.</w:t>
      </w:r>
    </w:p>
    <w:p>
      <w:r>
        <w:t xml:space="preserve">(3) Wer Dienstunfallfürsorgeleistungen nach § 42 beantragt oder erhält, hat gegenüber der obersten Dienstbehörde oder der von ihr bestimmten Stelle alle Tatsachen anzugeben, die für die Leistung erheblich sind. Absatz 2 Satz 3 gilt entsprechend.</w:t>
      </w:r>
    </w:p>
    <w:p>
      <w:r>
        <w:t xml:space="preserve">(4) Kommt eine Versorgungsberechtigte oder ein Versorgungsberechtigter der ihr oder ihm nach Absatz 2 Satz 1 Nummer 2 und Satz 2 auferlegten Verpflichtung schuldhaft nicht nach, so kann ihr oder ihm die Versorgung ganz oder teilweise auf Zeit oder Dauer entzogen werden. Beim Vorliegen besonderer Verhältnisse kann die Versorgung ganz oder teilweise wieder zuerkannt werden. Die Entscheidung trifft das Bundesministerium der Verteidigung.</w:t>
      </w:r>
    </w:p>
    <w:p>
      <w:r>
        <w:t xml:space="preserve">(5) Frühere Soldatinnen und frühere Soldaten, die einen Anspruch auf Förderung nach § 7 haben oder hatten, sind verpflichtet, dem Karrierecenter der Bundeswehr – Berufsförderungsdienst – nach Aufforderung, die in der Regel ein Jahr nach Dienstzeitende oder nach dem Abschluss einer Maßnahme der schulischen oder beruflichen Bildung nach § 7 erfolgt, den Stand ihrer zivilberuflichen Eingliederung mitzuteilen.</w:t>
      </w:r>
    </w:p>
    <w:p>
      <w:r>
        <w:rPr>
          <w:color w:val="555555"/>
          <w:sz w:val="17"/>
        </w:rPr>
        <w:t xml:space="preserve">Zitiervorschlag: § 81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