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SVG 2025 — Entziehung der Versorgung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Das Bundesministerium der Verteidigung kann früheren Soldatinnen oder früheren Soldaten, gegen die ein disziplinargerichtliches Verfahren auf Grund des § 23 Absatz 2 Nummer 2 des Soldatengesetzes nicht durchgeführt werden kann, das Recht auf Berufsförderung und Dienstzeitversorgung ganz oder zum Teil auf Zeit entziehen, wenn sie sich gegen die freiheitliche demokratische Grundordnung im Sinne des Grundgesetzes betätigt haben. Tatsachen, die diese Maßnahme rechtfertigen, müssen in einem Untersuchungsverfahren festgestellt worden sein, in dem die eidliche Vernehmung von Zeuginnen, Zeugen und Sachverständigen zulässig ist.</w:t>
      </w:r>
    </w:p>
    <w:p>
      <w:r>
        <w:t xml:space="preserve">(2) Absatz 1 gilt entsprechend für Empfängerinnen und Empfänger von Hinterbliebenenversorgung.</w:t>
      </w:r>
    </w:p>
    <w:p>
      <w:r>
        <w:rPr>
          <w:color w:val="555555"/>
          <w:sz w:val="17"/>
        </w:rPr>
        <w:t xml:space="preserve">Zitiervorschlag: § 79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