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SVG 2025 — Kürzung der Versorgungsbezüge nach der Ehescheidung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Sind durch Entscheidung des Familiengerichts</w:t>
      </w:r>
    </w:p>
    <w:p>
      <w:pPr>
        <w:ind w:left="420"/>
      </w:pPr>
      <w:r>
        <w:t xml:space="preserve">1. Anwartschaften in einer gesetzlichen Rentenversicherung nach § 1587b Absatz 2 des Bürgerlichen Gesetzbuchs in der bis zum 31. August 2009 geltenden Fassung oder</w:t>
      </w:r>
    </w:p>
    <w:p>
      <w:pPr>
        <w:ind w:left="420"/>
      </w:pPr>
      <w:r>
        <w:t xml:space="preserve">2. Anrechte nach dem Versorgungsausgleichsgesetz</w:t>
      </w:r>
    </w:p>
    <w:p>
      <w:r>
        <w:t xml:space="preserve">übertragen oder begründet worden, werden nach Wirksamkeit dieser Entscheidung die Versorgungsbezüge der ausgleichspflichtigen Person und ihrer Hinterbliebenen nach Anwendung von Ruhens-, Kürzungs- und Anrechnungsvorschriften um den nach Absatz 2 oder Absatz 3 berechneten Betrag gekürzt. Das Ruhegehalt, das die ausgleichspflichtige Person im Zeitpunkt der Wirksamkeit der Entscheidung des Familiengerichts über den Versorgungsausgleich erhält, wird erst gekürzt, wenn aus der Versicherung der ausgleichsberechtigten Person eine Rente zu gewähren ist; dies gilt nur, wenn der Anspruch auf Ruhegehalt vor dem 1. September 2009 entstanden und das Verfahren über den Versorgungsausgleich zu diesem Zeitpunkt eingeleitet worden ist. Bei Soldatinnen und Soldaten, die wegen Überschreitens der für sie festgesetzten besonderen Altersgrenze in den Ruhestand versetzt worden sind, wird die Kürzung nach Satz 1 bis zum Ende des Monats, in dem sie die Altersgrenze für Polizeivollzugsbeamtinnen auf Lebenszeit und Polizeivollzugsbeamte auf Lebenszeit (§ 5 des Bundespolizeibeamtengesetzes) erreichen, ausgesetzt. Satz 3 ist nicht anzuwenden, sobald Leistungen aus den durch das Familiengericht übertragenen oder begründeten Anwartschaften oder Anrechten aus der Versicherung der ausgleichsberechtigten Person oder nach dem Bundesversorgungsteilungsgesetz gewährt werden. Das einer Vollwaise zu gewährende Waisengeld wird nicht gekürzt, wenn nach dem Recht der gesetzlichen Rentenversicherungen die Voraussetzungen für die Gewährung einer Waisenrente aus der Versicherung der ausgleichsberechtigten Person des berechtigten Ehegatten nicht erfüllt sind.</w:t>
      </w:r>
    </w:p>
    <w:p>
      <w:r>
        <w:t xml:space="preserve">(2) 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Monatsbetrag, der sich nach Verrechnung ergibt. Der Monatsbetrag erhöht oder vermindert sich bei einer Berufssoldatin oder einem Berufssoldaten um die Prozentsätze der nach dem Ende der Ehezeit bis zum Zeitpunkt des Eintritts in den Ruhestand eingetretenen Erhöhungen oder Verminderungen der soldatenrechtlichen Versorgungsbezüge, die in festen Beträgen festgesetzt sind. Vom Zeitpunkt des Eintritts in den Ruhestand an, bei einer Soldatin im Ruhestand oder einem Soldaten im Ruhestand vom Tage nach dem Ende der Ehezeit an, erhöht oder vermindert sich der Kürzungsbetrag in dem Verhältnis, in dem sich das Ruhegehalt vor Anwendung von Ruhens-, Kürzungs- und Anrechnungsvorschriften durch Anpassung der Versorgungsbezüge erhöht oder vermindert.</w:t>
      </w:r>
    </w:p>
    <w:p>
      <w:r>
        <w:t xml:space="preserve">(3) Der Kürzungsbetrag für das Witwen- und Waisengeld berechnet sich aus dem Kürzungsbetrag nach Absatz 2 für das Ruhegehalt, das die Berufssoldatin oder der Berufssoldat erhalten hat oder hätte erhalten können, wenn sie oder er am Todestage in den Ruhestand getreten wäre, nach den Anteilssätzen des Witwen- oder Waisengeldes.</w:t>
      </w:r>
    </w:p>
    <w:p>
      <w:r>
        <w:t xml:space="preserve">(4) Ein Unterhaltsbeitrag nach § 59 dieses Gesetzes in Verbindung mit § 22 Absatz 2 oder Absatz 3 des Beamtenversorgungsgesetzes wird nicht gekürzt.</w:t>
      </w:r>
    </w:p>
    <w:p>
      <w:r>
        <w:t xml:space="preserve">(5) In den Fällen des Absatzes 1 hat die ausgleichspflichtige Person den Versorgungsträger unverzüglich zu unterrichten, sobald sie Leistungen aus den durch das Familiengericht übertragenen oder begründeten Anwartschaften aus der Versicherung der ausgleichsberechtigten Person bezieht. In den Fällen des Absatzes 1 Satz 2 sowie des § 5 des Gesetzes zur Regelung von Härten im Versorgungsausgleich vom 21. Februar 1983 in der bis zum 31. August 2009 geltenden Fassung steht die Zahlung des Ruhegehalts der ausgleichspflichtigen Person für den Fall rückwirkender oder erst nachträglich bekanntwerdender Rentengewährung an die ausgleichsberechtigte Person oder deren Hinterbliebene unter dem Vorbehalt der Rückforderung. Entsprechendes gilt im Fall des Absatzes 1 Satz 3 für den Fall, dass rückwirkend Leistungen aus durch das Familiengericht übertragenen oder begründeten Anwartschaften oder Anrechten aus der Versicherung der berechtigten Ehegattin oder des berechtigten Ehegatten an die Versorgungsempfängerin oder den Versorgungsempfänger erbracht werden oder dies erst nachträglich bekannt wird.</w:t>
      </w:r>
    </w:p>
    <w:p>
      <w:r>
        <w:rPr>
          <w:color w:val="555555"/>
          <w:sz w:val="17"/>
        </w:rPr>
        <w:t xml:space="preserve">Zitiervorschlag: § 73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