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SVG 2025 — Pfändung, Abtretung und Verpfändung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Ansprüche auf Versorgungsbezüge können, wenn bundesgesetzlich nichts anderes bestimmt ist, nur insoweit abgetreten oder verpfändet werden, als sie der Pfändung unterliegen.</w:t>
      </w:r>
    </w:p>
    <w:p>
      <w:r>
        <w:t xml:space="preserve">(2) Ansprüche auf Übergangsbeihilfe, Sterbegeld, einmalige Unfallentschädigung, einmalige Entschädigung und auf Schadensausgleich in besonderen Fällen können weder gepfändet noch abgetreten noch verpfändet werden. Ansprüche auf einen Ausbildungszuschuss, auf Übergangsgebührnisse und auf Grund einer Bewilligung einer Unterstützung nach § 57 können weder abgetreten noch verpfändet werden. Forderungen des Dienstherrn gegen die Verstorbene oder den Verstorbenen aus Vorschuss- oder Darlehensgewährungen sowie aus Überzahlungen von Dienst- oder Versorgungsbezügen können auf das Sterbegeld angerechnet werden.</w:t>
      </w:r>
    </w:p>
    <w:p>
      <w:r>
        <w:rPr>
          <w:color w:val="555555"/>
          <w:sz w:val="17"/>
        </w:rPr>
        <w:t xml:space="preserve">Zitiervorschlag: § 65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