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SVG 2025 — Anwendungsbereich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Bei der Anwendung der gemeinsamen Vorschriften gelten</w:t>
      </w:r>
    </w:p>
    <w:p>
      <w:pPr>
        <w:ind w:left="420"/>
      </w:pPr>
      <w:r>
        <w:t xml:space="preserve">1. ein Unterhaltsbeitrag nach § 51 als Ruhegehalt,</w:t>
      </w:r>
    </w:p>
    <w:p>
      <w:pPr>
        <w:ind w:left="420"/>
      </w:pPr>
      <w:r>
        <w:t xml:space="preserve">2. ein Unterhaltsbeitrag, der im Gnadenwege gewährt wird, als Ruhegehalt, Witwen- oder Waisengeld,</w:t>
      </w:r>
    </w:p>
    <w:p>
      <w:pPr>
        <w:ind w:left="420"/>
      </w:pPr>
      <w:r>
        <w:t xml:space="preserve">3. die Übergangsgebührnisse als Ruhegehalt.</w:t>
      </w:r>
    </w:p>
    <w:p>
      <w:r>
        <w:t xml:space="preserve">Satz 1 Nummer 3 gilt auch bei Weiterzahlung an die Hinterbliebenen (§ 16 Absatz 6 Satz 4 und 5, § 17 Absatz 2), außer für die Anwendung des § 68.</w:t>
      </w:r>
    </w:p>
    <w:p>
      <w:r>
        <w:t xml:space="preserve">(2) Wegen der Unterhaltsbeiträge für Hinterbliebene (§ 59) gilt § 63 des Beamtenversorgungsgesetzes entsprechend. Hierbei gilt ein nach § 59 Absatz 2 gewährter Unterhaltsbeitrag als Witwen- oder Waisengeld.</w:t>
      </w:r>
    </w:p>
    <w:p>
      <w:r>
        <w:t xml:space="preserve">(3) Die Empfängerinnen oder Empfänger der Versorgungsbezüge nach den Absätzen 1 und 2 gelten als Soldatinnen im Ruhestand, Soldaten im Ruhestand, als Witwen, Witwer oder Waisen.</w:t>
      </w:r>
    </w:p>
    <w:p>
      <w:r>
        <w:rPr>
          <w:color w:val="555555"/>
          <w:sz w:val="17"/>
        </w:rPr>
        <w:t xml:space="preserve">Zitiervorschlag: § 62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