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SVG 2025 — Kosten der Beurkundung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Alle gerichtlichen und außergerichtlichen Beurkundungen, Urkunden, Vollmachten, amtlichen Bescheinigungen, Eintragungen und Löschungen im Grundbuch, die zur Durchführung des § 46 erforderlich sind, sind kostenfrei.</w:t>
      </w:r>
    </w:p>
    <w:p>
      <w:r>
        <w:t xml:space="preserve">(2) Die Vorschriften über die Gebühren und Auslagen der Notare werden hierdurch nicht berührt.</w:t>
      </w:r>
    </w:p>
    <w:p>
      <w:r>
        <w:rPr>
          <w:color w:val="555555"/>
          <w:sz w:val="17"/>
        </w:rPr>
        <w:t xml:space="preserve">Zitiervorschlag: § 50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