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SVG 2025 — Rückzahlung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Kapitalabfindung ist insoweit zurückzuzahlen, als</w:t>
      </w:r>
    </w:p>
    <w:p>
      <w:pPr>
        <w:ind w:left="420"/>
      </w:pPr>
      <w:r>
        <w:t xml:space="preserve">1. sie nicht bis zu dem Zeitpunkt, der vom Bundesministerium der Verteidigung festgesetzt ist, bestimmungsgemäß verwendet worden ist oder</w:t>
      </w:r>
    </w:p>
    <w:p>
      <w:pPr>
        <w:ind w:left="420"/>
      </w:pPr>
      <w:r>
        <w:t xml:space="preserve">2. der Anspruch auf Ruhegehalt vor Ablauf der in § 45 Absatz 2 bezeichneten Frist aus anderen Gründen als durch Tod der oder des Berechtigten wegfällt.</w:t>
      </w:r>
    </w:p>
    <w:p>
      <w:r>
        <w:t xml:space="preserve">(2) Die Kapitalabfindung ist abweichend von Absatz 1 Nummer 2 nicht zurückzuzahlen, wenn der Ruhestand gemäß § 51 Absatz 5 des Soldatengesetzes endet. Der der Kapitalabfindung zugrundeliegende Teil des Ruhegehalts ist für die Zeit der Wiederverwendung von den Dienstbezügen einzubehalten und an die Kasse abzuführen, die für die Zahlung des Ruhegehalts zuständig war. Wird die wiederverwendete Berufssoldatin oder der wiederverwendete Berufssoldat erneut in den Ruhestand versetzt, so sind hinsichtlich der restlichen Kapitalabfindung die §§ 45 bis 49 anzuwenden; wird sie oder er ohne einen Anspruch auf Ruhegehalt entlassen, so ist sie oder er nach Maßgabe des § 48 zur Rückzahlung verpflichtet.</w:t>
      </w:r>
    </w:p>
    <w:p>
      <w:r>
        <w:t xml:space="preserve">(3) Der oder dem Abgefundenen kann vor Ablauf von zehn Jahren auf Antrag der Teil des Ruhegehalts, der durch die Kapitalabfindung erloschen ist, gegen Rückzahlung der Abfindungssumme wieder bewilligt werden, wenn wichtige Gründe vorliegen.</w:t>
      </w:r>
    </w:p>
    <w:p>
      <w:r>
        <w:rPr>
          <w:color w:val="555555"/>
          <w:sz w:val="17"/>
        </w:rPr>
        <w:t xml:space="preserve">Zitiervorschlag: § 47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