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SVG 2025 — Höhe der Kapitalabfindung</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Der Teilbetrag des Ruhegehalts, an dessen Stelle die Kapitalabfindung tritt, darf 50 Prozent des Ruhegehalts und 2 455 Euro jährlich nicht übersteigen.</w:t>
      </w:r>
    </w:p>
    <w:p>
      <w:r>
        <w:t xml:space="preserve">(2) Der Anspruch auf den Teil des Ruhegehalts, an dessen Stelle die Kapitalabfindung tritt, erlischt mit Ablauf des Monats der Auszahlung für zehn Jahre. Als Abfindungssumme wird das Neunfache des ihr zugrundeliegenden Jahresbetrages gezahlt.</w:t>
      </w:r>
    </w:p>
    <w:p>
      <w:r>
        <w:rPr>
          <w:color w:val="555555"/>
          <w:sz w:val="17"/>
        </w:rPr>
        <w:t xml:space="preserve">Zitiervorschlag: § 45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