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SVG 2025 — Sonstige Zeiten</w:t>
      </w:r>
    </w:p>
    <w:p>
      <w:r>
        <w:rPr>
          <w:color w:val="555555"/>
          <w:sz w:val="18"/>
        </w:rPr>
        <w:t xml:space="preserve">Soldatenversorgungsgesetz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Die Zeit, während der eine Berufssoldatin oder ein Berufssoldat vor dem Eintritt in die Bundeswehr</w:t>
      </w:r>
    </w:p>
    <w:p>
      <w:pPr>
        <w:ind w:left="420"/>
      </w:pPr>
      <w:r>
        <w:t xml:space="preserve">1. besondere Fachkenntnisse erworben hat, die die notwendige Voraussetzung für ihre oder seine Verwendung in einem Fachgebiet in der Bundeswehr bilden, oder</w:t>
      </w:r>
    </w:p>
    <w:p>
      <w:pPr>
        <w:ind w:left="420"/>
      </w:pPr>
      <w:r>
        <w:t xml:space="preserve">2. als Entwicklungshelferin oder Entwicklungshelfer im Sinne des Entwicklungshelfer-Gesetzes tätig gewesen ist,</w:t>
      </w:r>
    </w:p>
    <w:p>
      <w:r>
        <w:t xml:space="preserve">kann als ruhegehaltfähige Dienstzeit, jedoch höchstens bis zur Hälfte und in der Regel nicht über zehn Jahre hinaus, berücksichtigt werden.</w:t>
      </w:r>
    </w:p>
    <w:p>
      <w:r>
        <w:rPr>
          <w:color w:val="555555"/>
          <w:sz w:val="17"/>
        </w:rPr>
        <w:t xml:space="preserve">Zitiervorschlag: § 36 SVG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https://recht.nulegal.eu/gesetze/SVG%202025/36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