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SVG 2025 — Zeiten im privatrechtlichen Arbeitsverhältnis im öffentlichen Dienst</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Als ruhegehaltfähig sollen auch folgende Zeiten berücksichtigt werden, in denen eine Berufssoldatin oder ein Berufssoldat vor der Berufung in das Dienstverhältnis einer Soldatin auf Zeit, eines Soldaten auf Zeit, einer Berufssoldatin oder eines Berufssoldaten im privatrechtlichen Arbeitsverhältnis im Dienst eines öffentlich-rechtlichen Dienstherrn ohne von der Soldatin oder dem Soldaten zu vertretende Unterbrechung tätig war, wenn diese Tätigkeit zu ihrer oder seiner Einstellung als Soldatin auf Zeit, Soldat auf Zeit, als Berufssoldatin oder Berufssoldat geführt hat:</w:t>
      </w:r>
    </w:p>
    <w:p>
      <w:pPr>
        <w:ind w:left="420"/>
      </w:pPr>
      <w:r>
        <w:t xml:space="preserve">1. Zeiten einer hauptberuflichen in der Regel einer Beamtin, einem Beamten, einer Unteroffizierin, einem Unteroffizier oder einer Offizierin oder einem Offizier obliegenden oder später einer Beamtin, einem Beamten, einer Unteroffizierin, einem Unteroffizier oder einer Offizierin oder einem Offizier übertragenen entgeltlichen Beschäftigung oder</w:t>
      </w:r>
    </w:p>
    <w:p>
      <w:pPr>
        <w:ind w:left="420"/>
      </w:pPr>
      <w:r>
        <w:t xml:space="preserve">2. Zeiten einer für ihre oder seine Laufbahn förderlichen Tätigkeit.</w:t>
      </w:r>
    </w:p>
    <w:p>
      <w:r>
        <w:t xml:space="preserve">Der Tätigkeit im Dienst eines öffentlich-rechtlichen Dienstherrn steht die Tätigkeit im Dienst von Einrichtungen gleich, die von mehreren der im Satz 1 bezeichneten Dienstherrn durch Staatsvertrag oder Verwaltungsabkommen zur Erfüllung oder Koordinierung ihnen obliegender hoheitsrechtlicher Aufgaben geschaffen worden sind. Zeiten mit einer geringeren als der regelmäßigen Arbeitszeit dürfen nur zu dem Teil als ruhegehaltfähig berücksichtigt werden, der dem Verhältnis der tatsächlichen zur regelmäßigen Arbeitszeit entspricht.</w:t>
      </w:r>
    </w:p>
    <w:p>
      <w:r>
        <w:rPr>
          <w:color w:val="555555"/>
          <w:sz w:val="17"/>
        </w:rPr>
        <w:t xml:space="preserve">Zitiervorschlag: § 34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