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SVG 2025 — Zweijahresfrist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Hat eine Berufssoldatin oder ein Berufssoldat die Dienstbezüge ihres oder seines letzten Dienstgrades vor dem Eintritt in den Ruhestand nicht mindestens zwei Jahre erhalten, so sind nur die Bezüge ihres oder seines vorletzten Dienstgrades ruhegehaltfähig, wenn die Dienstbezüge des letzten Dienstgrades nicht der Eingangsbesoldungsgruppe ihrer oder seiner Laufbahn entsprechen. Hat die Berufssoldatin oder der Berufssoldat vorher einen Dienstgrad nicht gehabt, so setzt das Bundesministerium der Verteidigung im Einvernehmen mit dem Bundesministerium des Innern, für Bau und Heimat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p>
      <w:r>
        <w:t xml:space="preserve">(2) Absatz 1 gilt nicht, wenn die Berufssoldatin oder der Berufssoldat vor Ablauf der Frist wegen Dienstunfähigkeit infolge Wehrdienstbeschädigung in den Ruhestand versetzt worden ist.</w:t>
      </w:r>
    </w:p>
    <w:p>
      <w:r>
        <w:t xml:space="preserve">(3) Das Ruhegehalt einer Berufssoldatin oder eines Berufssoldaten, die oder der früher einen mit höheren Dienstbezügen verbundenen Dienstgrad innegehabt und diese Bezüge mindestens zwei Jahre erhalten hat, wird, sofern die Berufssoldatin oder der Berufssoldat in einen mit geringeren Dienstbezügen verbundenen Dienstgrad nicht lediglich auf ihren oder seinen im eigenen Interesse gestellten Antrag übergetreten ist, nach den höheren ruhegehaltfähigen Dienstbezügen des früheren Dienstgrades und der gesamten ruhegehaltfähigen Dienstzeit berechnet. Absatz 1 Satz 3 und Absatz 2 gelten entsprechend. Das Ruhegehalt darf jedoch die ruhegehaltfähigen Dienstbezüge des letzten Dienstgrades nicht übersteigen.</w:t>
      </w:r>
    </w:p>
    <w:p>
      <w:r>
        <w:rPr>
          <w:color w:val="555555"/>
          <w:sz w:val="17"/>
        </w:rPr>
        <w:t xml:space="preserve">Zitiervorschlag: § 30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