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SVG 2025 — Unterhaltsbeitrag für Soldatinnen auf Zeit und Soldaten auf Zeit</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Einer früheren Soldatin auf Zeit oder einem früheren Soldaten auf Zeit kann nach Beendigung der Zahlung der Übergangsgebührnisse nach § 16 auf Antrag ein Unterhaltsbeitrag bis zur Höhe von 75 Prozent der Mindestversorgung einer Soldatin im Ruhestand oder eines Soldaten im Ruhestand nach § 40 Absatz 5 Satz 2 bewilligt werden, wenn deren oder dessen Dienstverhältnis</w:t>
      </w:r>
    </w:p>
    <w:p>
      <w:pPr>
        <w:ind w:left="420"/>
      </w:pPr>
      <w:r>
        <w:t xml:space="preserve">1. nach einer Gesamtdienstzeit von mindestens 20 Jahren endet wegen</w:t>
      </w:r>
    </w:p>
    <w:p>
      <w:pPr>
        <w:ind w:left="780"/>
      </w:pPr>
      <w:r>
        <w:t xml:space="preserve">a) Ablaufs der festgesetzten Wehrdienstzeit oder</w:t>
      </w:r>
    </w:p>
    <w:p>
      <w:pPr>
        <w:ind w:left="780"/>
      </w:pPr>
      <w:r>
        <w:t xml:space="preserve">b) Entlassung nach § 55 Absatz 4 Satz 2 des Soldatengesetzes auf Grund des Nichtbestehens der Laufbahnprüfung nach Laufbahnaufstieg und mindestens vierjähriger Wehrdienstzeit in der vorherigen Laufbahn oder</w:t>
      </w:r>
    </w:p>
    <w:p>
      <w:pPr>
        <w:ind w:left="420"/>
      </w:pPr>
      <w:r>
        <w:t xml:space="preserve">2. wegen Dienstunfähigkeit endet, nachdem ihre oder seine Dienstzeit auf mindestens 20 Jahre festgesetzt wurde.</w:t>
      </w:r>
    </w:p>
    <w:p>
      <w:r>
        <w:t xml:space="preserve">§ 18 gilt entsprechend. Die wirtschaftlichen Verhältnisse und die zumutbaren Bemühungen zur Arbeitsaufnahme der früheren Soldatin auf Zeit oder des früheren Soldaten auf Zeit sind angemessen zu berücksichtigen. Der Unterhaltsbeitrag entfällt spätestens ab dem Zeitpunkt, zu dem die frühere Soldatin auf Zeit oder der frühere Soldat auf Zeit die Regelaltersgrenze nach § 35 Satz 2 oder § 235 Absatz 2 des Sechsten Buches Sozialgesetzbuch erreicht hat.</w:t>
      </w:r>
    </w:p>
    <w:p>
      <w:r>
        <w:rPr>
          <w:color w:val="555555"/>
          <w:sz w:val="17"/>
        </w:rPr>
        <w:t xml:space="preserve">Zitiervorschlag: § 25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