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SVG 2025 — Versorgung beim Ruhen der Rechte und Pflichten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Auf eine Soldatin auf Zeit oder einen Soldaten auf Zeit, deren oder dessen Rechte und Pflichten aus dem Wehrdienstverhältnis nach dem Abgeordnetengesetz oder entsprechenden Rechtsvorschriften geruht haben, ist, soweit die Zeit des Ruhens nicht als Dienstzeit im Sinne des Versorgungsrechts gilt, § 22 Absatz 1 Satz 1 entsprechend anzuwenden.</w:t>
      </w:r>
    </w:p>
    <w:p>
      <w:r>
        <w:t xml:space="preserve">(2) Die Zeit, die eine Soldatin oder ein Soldat als Mitglied der Bundesregierung oder als Parlamentarische Staatssekretärin oder als Parlamentarischer Staatssekretär bei einem Mitglied der Bundesregierung zurückgelegt hat, gilt für die Versorgung als Wehrdienstzeit. Dies gilt auch für die Zeit als Mitglied einer Landesregierung oder als Inhaberin oder als Inhaber eines Amtes, das dem einer Parlamentarischen Staatssekretärin oder eines Parlamentarischen Staatssekretärs im Sinne des Gesetzes über die Rechtsverhältnisse der Parlamentarischen Staatssekretäre entspricht. In den Fällen des § 25 Absatz 4 Satz 3 des Soldatengesetzes ist § 22 Absatz 1 Satz 1 entsprechend anzuwenden hinsichtlich der Zeit, um die die Zeit des Dienstverhältnisses bis zum Ende der Amtszeit kürzer ist als die festgesetzte Dienstzeit.</w:t>
      </w:r>
    </w:p>
    <w:p>
      <w:r>
        <w:rPr>
          <w:color w:val="555555"/>
          <w:sz w:val="17"/>
        </w:rPr>
        <w:t xml:space="preserve">Zitiervorschlag: § 24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