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135 SVG 2025 — Übergangsregelung aus Anlass des Gesetzes zur weiteren Stärkung der personellen Einsatzbereitschaft und zur Änderung von Vorschriften für die Bundeswehr</w:t>
      </w:r>
    </w:p>
    <w:p>
      <w:r>
        <w:rPr>
          <w:color w:val="555555"/>
          <w:sz w:val="18"/>
        </w:rPr>
        <w:t xml:space="preserve">Soldatenversorgungsgesetz</w:t>
      </w:r>
    </w:p>
    <w:p>
      <w:r>
        <w:rPr>
          <w:color w:val="555555"/>
          <w:sz w:val="18"/>
        </w:rPr>
        <w:t xml:space="preserve">Stand: 13.04.2025 (konsolidierte Textfassung, kein amtliches Inkrafttretensdatum)</w:t>
      </w:r>
    </w:p>
    <w:p>
      <w:r>
        <w:t xml:space="preserve">(1) Für am 1. April 2025 vorhandene Soldatinnen im Ruhestand und Soldaten im Ruhestand, die nicht bereits ein Unfallruhegehalt oder ein erhöhtes Unfallruhegehalt erhalten, gelten die §§ 42 und 88. Hat die Soldatin im Ruhestand oder der Soldat im Ruhestand eine Ausgleichszahlung nach § 63f des Soldatenversorgungsgesetzes in der bis zum 31. Dezember 2024 geltenden Fassung oder nach § 90 oder eine Kompensationszahlung nach § 85a erhalten, so wird das erhöhte Unfallruhegehalt monatlich um 250 Euro gekürzt, bis der Betrag der gewährten Ausgleichs- oder Kompensationszahlung erreicht ist. Beträgt der Unterschiedsbetrag zwischen dem erhöhten Unfallruhegehalt und dem zuletzt bezogenen Ruhegehalt weniger als 250 Euro im Monat, wird das erhöhte Unfallruhegehalt nur bis zur Höhe des Unterschiedsbetrags gekürzt. Der Betrag der gewährten Ausgleichs- oder Kompensationszahlung ist zuvor um 250 Euro für jeden Monat, der zwischen der Auszahlung der Ausgleichs- oder Kompensationszahlung und dem Beginn der Gewährung des erhöhten Unfallruhegehaltes liegt, zu mindern.</w:t>
      </w:r>
    </w:p>
    <w:p>
      <w:r>
        <w:t xml:space="preserve">(2) Die Leistungen werden ab dem Ersten des Monats gewährt, in dem ein schriftlicher oder elektronischer Antrag von der Soldatin im Ruhestand oder dem Soldaten im Ruhestand bei der für die Festsetzung der Versorgungsbezüge zuständigen Stelle gestellt wurde. Eine Nachzahlung für davorliegende Zeiträume erfolgt nicht.</w:t>
      </w:r>
    </w:p>
    <w:p>
      <w:r>
        <w:t xml:space="preserve">(3) Auf am 1. April 2025 vorhandene Hinterbliebene, die bisher keine Unfall-Hinterbliebenenversorgung erhalten, ist § 59 anzuwenden, wenn die Berufssoldatin oder der Berufssoldat die Voraussetzungen des § 42 oder § 88 erfüllt hätte. Absatz 2 gilt entsprechend.</w:t>
      </w:r>
    </w:p>
    <w:p>
      <w:r>
        <w:rPr>
          <w:color w:val="555555"/>
          <w:sz w:val="17"/>
        </w:rPr>
        <w:t xml:space="preserve">Zitiervorschlag: § 135 SVG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https://recht.nulegal.eu/gesetze/SVG%202025/135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