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130 SVG 2025 — Übergangsregelung aus Anlass des GKV-Versichertenentlastungsgesetzes sowie des Bundeswehr-Einsatzbereitschaftsstärkungsgesetzes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Auf die am 31. Dezember 2018 vorhandenen Empfängerinnen und Empfänger von Übergangsgebührnissen ist das Soldatenversorgungsgesetz in der bis dahin geltenden Fassung weiter anzuwenden.</w:t>
      </w:r>
    </w:p>
    <w:p>
      <w:r>
        <w:t xml:space="preserve">(2) § 18 Absatz 4 findet Anwendung auf frühere Soldatinnen auf Zeit und frühere Soldaten auf Zeit, die ab dem 31. Dezember 2018 aus dem Dienstverhältnis ausgeschieden sind.</w:t>
      </w:r>
    </w:p>
    <w:p>
      <w:r>
        <w:rPr>
          <w:color w:val="555555"/>
          <w:sz w:val="17"/>
        </w:rPr>
        <w:t xml:space="preserve">Zitiervorschlag: § 130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https://recht.nulegal.eu/gesetze/SVG%202025/130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