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127 SVG 2025 — Übergangsregelungen aus Anlass des Bundeswehr-Attraktivitätssteigerungsgesetzes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§ 58 ist auch anzuwenden, wenn der Tod in der Zeit vom 1. Dezember 2002 bis zum 12. Dezember 2011 eingetreten ist. Ein bereits nach § 56 Absatz 1 gewährtes Sterbegeld ist zu belassen.</w:t>
      </w:r>
    </w:p>
    <w:p>
      <w:r>
        <w:t xml:space="preserve">(2) Für eine gesundheitliche Schädigung, die in der Zeit vom 1. November 1991 bis zum 30. November 2002 erlitten worden ist, ist § 87 mit folgenden Maßgaben anzuwenden:</w:t>
      </w:r>
    </w:p>
    <w:p>
      <w:pPr>
        <w:ind w:left="420"/>
      </w:pPr>
      <w:r>
        <w:t xml:space="preserve">1. ist im Fall des § 86 bereits ein Schadensausgleich gewährt worden, wird insoweit kein weiterer Schadensausgleich vorgenommen;</w:t>
      </w:r>
    </w:p>
    <w:p>
      <w:pPr>
        <w:ind w:left="420"/>
      </w:pPr>
      <w:r>
        <w:t xml:space="preserve">2. ist im Fall des § 88 bereits ein erhöhtes Unfallruhegehalt gewährt worden, hat es damit sein Bewenden;</w:t>
      </w:r>
    </w:p>
    <w:p>
      <w:pPr>
        <w:ind w:left="420"/>
      </w:pPr>
      <w:r>
        <w:t xml:space="preserve">3. im Fall des § 89</w:t>
      </w:r>
    </w:p>
    <w:p>
      <w:pPr>
        <w:ind w:left="780"/>
      </w:pPr>
      <w:r>
        <w:t xml:space="preserve">a) gilt § 85 Absatz 3 entsprechend, wenn die geschädigte Person, nachdem die in § 85 Absatz 1 genannten Schädigungsfolgen eingetreten sind, nicht an diesen, sondern aus anderen Gründen gestorben ist und aus Anlass der Schädigung weder eine einmalige Entschädigung nach § 85 noch eine vergleichbare Entschädigung nach anderen Vorschriften erhalten hat,</w:t>
      </w:r>
    </w:p>
    <w:p>
      <w:pPr>
        <w:ind w:left="780"/>
      </w:pPr>
      <w:r>
        <w:t xml:space="preserve">b) sind einmalige Entschädigungszahlungen anzurechnen, die der geschädigten Person oder ihren Hinterbliebenen aus Anlass derselben Schädigung nach anderen Vorschriften zustehen oder bereits gewährt worden sind;</w:t>
      </w:r>
    </w:p>
    <w:p>
      <w:pPr>
        <w:ind w:left="420"/>
      </w:pPr>
      <w:r>
        <w:t xml:space="preserve">4. im Fall des § 90 steht die Ausgleichszahlung der hinterbliebenen Ehegattin, dem hinterbliebenen Ehegatten und den nach diesem Gesetz versorgungsberechtigten Kindern zu, wenn die geschädigte Person nach Erfüllung der in § 90 Absatz 1 genannten Voraussetzungen nicht an den Schädigungsfolgen, sondern aus anderen Gründen gestorben ist;</w:t>
      </w:r>
    </w:p>
    <w:p>
      <w:pPr>
        <w:ind w:left="420"/>
      </w:pPr>
      <w:r>
        <w:t xml:space="preserve">5. eine Ausgleichszahlung nach § 90 steht im Fall des Anspruchs auf Hinterbliebenenversorgung nach § 58 nicht zu.</w:t>
      </w:r>
    </w:p>
    <w:p>
      <w:r>
        <w:t xml:space="preserve">Die Leistungen werden auf Antrag gewährt.</w:t>
      </w:r>
    </w:p>
    <w:p>
      <w:r>
        <w:rPr>
          <w:color w:val="555555"/>
          <w:sz w:val="17"/>
        </w:rPr>
        <w:t xml:space="preserve">Zitiervorschlag: § 127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