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SVG 2025 — Übergangsregelungen aus Anlass des Einsatzversorgungs-Verbesserungsgesetzes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Ist der Anspruch auf eine einmalige Unfallentschädigung nach § 84 oder auf eine einmalige Entschädigung nach § 85 in der Zeit vom 1. Dezember 2002 bis zum 12. Dezember 2011 entstanden, beträgt die Entschädigung</w:t>
      </w:r>
    </w:p>
    <w:p>
      <w:r>
        <w:rPr>
          <w:rFonts w:ascii="Courier New" w:hAnsi="Courier New"/>
          <w:sz w:val="17"/>
        </w:rPr>
        <w:t xml:space="preserve">1.    nach § 84 Absatz 3 Nummer 1 und § 85 Absatz 1    150 000 Euro,</w:t>
      </w:r>
    </w:p>
    <w:p>
      <w:r>
        <w:rPr>
          <w:rFonts w:ascii="Courier New" w:hAnsi="Courier New"/>
          <w:sz w:val="17"/>
        </w:rPr>
        <w:t xml:space="preserve">2.    nach § 84 Absatz 3 Nummer 2 und § 85 Absatz 3 Nummer 1    100 000 Euro,</w:t>
      </w:r>
    </w:p>
    <w:p>
      <w:r>
        <w:rPr>
          <w:rFonts w:ascii="Courier New" w:hAnsi="Courier New"/>
          <w:sz w:val="17"/>
        </w:rPr>
        <w:t xml:space="preserve">3.    nach § 84 Absatz 3 Nummer 3 und § 85 Absatz 3 Nummer 2    40 000 Euro,</w:t>
      </w:r>
    </w:p>
    <w:p>
      <w:r>
        <w:rPr>
          <w:rFonts w:ascii="Courier New" w:hAnsi="Courier New"/>
          <w:sz w:val="17"/>
        </w:rPr>
        <w:t xml:space="preserve">4.    nach § 84 Absatz 3 Nummer 4 und § 85 Absatz 3 Nummer 3    20 000 Euro.</w:t>
      </w:r>
    </w:p>
    <w:p>
      <w:r>
        <w:t xml:space="preserve">Aus gleichem Anlass bereits gewährte Leistungen nach § 84 oder § 85 sind anzurechnen. Die Sätze 1 und 2 gelten für die einmalige Entschädigung nach § 89 entsprechend.</w:t>
      </w:r>
    </w:p>
    <w:p>
      <w:r>
        <w:rPr>
          <w:color w:val="555555"/>
          <w:sz w:val="17"/>
        </w:rPr>
        <w:t xml:space="preserve">Zitiervorschlag: § 125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