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SVG 2025 — Versorgungsüberleitungsregelungen aus Anlass des Dienstrechtsneuordnungsgesetzes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Für Versorgungsfälle, die vor dem 1. Juli 2009 eingetreten sind, gilt:</w:t>
      </w:r>
    </w:p>
    <w:p>
      <w:pPr>
        <w:ind w:left="420"/>
      </w:pPr>
      <w:r>
        <w:t xml:space="preserve">1. § 29 Absatz 1 dieses Gesetzes ist mit folgenden Maßgaben anzuwenden:</w:t>
      </w:r>
    </w:p>
    <w:p>
      <w:pPr>
        <w:ind w:left="780"/>
      </w:pPr>
      <w:r>
        <w:t xml:space="preserve">a) § 2 Absatz 1 Satz 1 sowie Absatz 2 Satz 1, 2 und 4 des Besoldungsüberleitungsgesetzes gilt entsprechend. Die Zuordnung im Sinne des § 2 Absatz 3 des Besoldungsüberleitungsgesetzes erfolgt innerhalb der Besoldungsgruppe, aus der sich das Ruhegehalt berechnet, zu dem Betrag der Stufe, der dem Betrag nach § 2 Absatz 2 Satz 1, 2 und 4 des Besoldungsüberleitungsgesetzes entspricht oder unmittelbar darunterliegt. Liegt der zugeordnete Betrag nach Satz 2 unter dem Betrag nach § 2 Absatz 2 Satz 1, 2 und 4 des Besoldungsüberleitungsgesetzes, wird in Höhe der Differenz ein Überleitungsbetrag als ruhegehaltfähiger Dienstbezug gewährt. Der Überleitungsbetrag ist bei allgemeinen Erhöhungen oder Verminderungen der Versorgungsbezüge nach § 105 dieses Gesetzes in Verbindung mit § 70 des Beamtenversorgungsgesetzes entsprechend anzupassen. Der Überleitungsbetrag gehört zu den der Bemessung nach § 2 der Zweiten Besoldungs-Übergangsverordnung zugrunde zu legenden Dienstbezügen. Auf die ruhegehaltfähigen Dienstbezüge nach Satz 1, die nicht von Satz 2 erfasst werden, ist § 2 Absatz 2 Satz 2 des Besoldungsüberleitungsgesetzes entsprechend anzuwenden.</w:t>
      </w:r>
    </w:p>
    <w:p>
      <w:pPr>
        <w:ind w:left="780"/>
      </w:pPr>
      <w:r>
        <w:t xml:space="preserve">b) Für Versorgungsbezüge, deren Berechnung ruhegehaltfähige Dienstbezüge nach der Bundesbesoldungsordnung B zugrunde liegen, gelten die Beträge nach § 20 Absatz 2 des Bundesbesoldungsgesetzes.</w:t>
      </w:r>
    </w:p>
    <w:p>
      <w:pPr>
        <w:ind w:left="780"/>
      </w:pPr>
      <w:r>
        <w:t xml:space="preserve">c) Für die nicht von den Buchstaben a und b erfassten ruhegehaltfähigen Dienstbezüge mit Ausnahme des Familienzuschlages der Stufe 1 gilt § 2 Absatz 2 Satz 2 des Besoldungsüberleitungsgesetzes entsprechend. Zu den ruhegehaltfähigen Dienstbezügen nach Satz 1 gehören auch die Anpassungszuschläge, der Strukturausgleich sowie Erhöhungszuschläge nach den Artikeln 5 und 6 des Siebenten Gesetzes zur Änderung des Bundesbesoldungsgesetzes vom 15. April 1970 (BGBl. I S. 339).</w:t>
      </w:r>
    </w:p>
    <w:p>
      <w:pPr>
        <w:ind w:left="420"/>
      </w:pPr>
      <w:r>
        <w:t xml:space="preserve">2. Für Versorgungsbezüge, die in festen Beträgen festgesetzt sind, gelten § 2 Absatz 2 Satz 2 des Besoldungsüberleitungsgesetzes sowie der Faktor nach § 29 Absatz 1 Satz 1 entsprechend.</w:t>
      </w:r>
    </w:p>
    <w:p>
      <w:r>
        <w:t xml:space="preserve">(2) Für Versorgungsfälle, die ab dem 1. Juli 2009 eintreten, gilt:</w:t>
      </w:r>
    </w:p>
    <w:p>
      <w:pPr>
        <w:ind w:left="420"/>
      </w:pPr>
      <w:r>
        <w:t xml:space="preserve">1. § 29 Absatz 1 ist für Berufssoldatinnen und Berufssoldaten, die aus einer zugeordneten Überleitungsstufe nach § 2 Absatz 3 des Besoldungsüberleitungsgesetzes in den Ruhestand treten oder versetzt werden, mit folgenden Maßgaben anzuwenden:Ruhegehaltfähig ist das Grundgehalt der Stufe, die unmittelbar unter der nach § 2 Absatz 3 des Besoldungsüberleitungsgesetzes zugeordneten Überleitungsstufe liegt. In Höhe der Differenz zu dem Betrag der Überleitungsstufe nach Satz 1 wird ein Überleitungsbetrag als ruhegehaltfähiger Dienstbezug gewährt. Absatz 1 Nummer 1 Buchstabe a Satz 4 und 5 ist anzuwenden.</w:t>
      </w:r>
    </w:p>
    <w:p>
      <w:pPr>
        <w:ind w:left="420"/>
      </w:pPr>
      <w:r>
        <w:t xml:space="preserve">2. Absatz 1 Nummer 2 gilt entsprechend.</w:t>
      </w:r>
    </w:p>
    <w:p>
      <w:r>
        <w:t xml:space="preserve">(3) Für die Empfängerinnen und Empfänger von Übergangsgebührnissen nach § 16 oder Ausgleichsbezügen nach § 17 gilt Absatz 1 Nummer 1 Buchstabe a entsprechend. Ist der Versorgungsfall ab dem 1. Juli 2009 eingetreten, gilt Absatz 2 Nummer 1 entsprechend.</w:t>
      </w:r>
    </w:p>
    <w:p>
      <w:r>
        <w:t xml:space="preserve">(4) Für Versorgungsfälle, die vor dem 1. Januar 2012 eingetreten sind, werden die Bezüge und Bezügebestandteile nach den Absätzen 1 bis 3 mit Ausnahme der Bezüge nach Absatz 1 Nummer 1 Buchstabe b sowie nach Absatz 2 Nummer 2 um 2,44 Prozent erhöht.</w:t>
      </w:r>
    </w:p>
    <w:p>
      <w:r>
        <w:rPr>
          <w:color w:val="555555"/>
          <w:sz w:val="17"/>
        </w:rPr>
        <w:t xml:space="preserve">Zitiervorschlag: § 124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