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122 SVG 2025 — Übergangsregelung aus Anlass des Wegfalls des Instituts der Anstellung</w:t>
      </w:r>
    </w:p>
    <w:p>
      <w:r>
        <w:rPr>
          <w:color w:val="555555"/>
          <w:sz w:val="18"/>
        </w:rPr>
        <w:t xml:space="preserve">Soldatenversorgungsgesetz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Bundesbeamtinnen und Bundesbeamte, denen mit der Begründung eines Beamtenverhältnisses auf Probe nicht gleichzeitig ein Amt verliehen wird, ist § 8a Absatz 1, § 9 Absatz 4 und 5 sowie § 11a in der bis zum 11. Februar 2009 geltenden Fassung anzuwenden.</w:t>
      </w:r>
    </w:p>
    <w:p>
      <w:r>
        <w:rPr>
          <w:color w:val="555555"/>
          <w:sz w:val="17"/>
        </w:rPr>
        <w:t xml:space="preserve">Zitiervorschlag: § 122 SVG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https://recht.nulegal.eu/gesetze/SVG%202025/122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