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SVG 2025 — Verteilung der Versorgungslasten bei Übernahme von Berufssoldatinnen und Berufssoldaten in ein öffentlich-rechtliches Dienstverhältnis zu einem anderen Dienstherrn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Wird eine Berufssoldatin oder ein Berufssoldat der Bundeswehr in ein öffentlich-rechtliches Dienstverhältnis eines anderen Dienstherrn übernommen und stimmt das Bundesministerium der Verteidigung der Übernahme vorher zu, ist § 107b des Beamtenversorgungsgesetzes mit folgenden Maßgaben entsprechend anzuwenden:</w:t>
      </w:r>
    </w:p>
    <w:p>
      <w:pPr>
        <w:ind w:left="420"/>
      </w:pPr>
      <w:r>
        <w:t xml:space="preserve">1. An die Stelle der Vorschriften des Beamtenversorgungsgesetzes treten die entsprechenden soldatenversorgungsrechtlichen Vorschriften.</w:t>
      </w:r>
    </w:p>
    <w:p>
      <w:pPr>
        <w:ind w:left="420"/>
      </w:pPr>
      <w:r>
        <w:t xml:space="preserve">2. An die Stelle der in § 107b Absatz 1 Satz 1 des Beamtenversorgungsgesetzes geforderten Voraussetzungen tritt eine Wehrdienstzeit von mindestens drei Jahren ab der Ernennung zur Berufssoldatin oder zum Berufssoldaten.</w:t>
      </w:r>
    </w:p>
    <w:p>
      <w:pPr>
        <w:ind w:left="420"/>
      </w:pPr>
      <w:r>
        <w:t xml:space="preserve">3. Bei Anwendung des § 107b Absatz 2 Satz 2 des Beamtenversorgungsgesetzes ist der Vergleich auf der Grundlage der jeweiligen Besoldungsgruppe vorzunehmen.</w:t>
      </w:r>
    </w:p>
    <w:p>
      <w:r>
        <w:t xml:space="preserve">Bei einem bundesübergreifenden Dienstherrenwechsel gilt Satz 1 nur, wenn der Versorgungsfall vor dem 1. Januar 2011 eingetreten ist. In diesem Fall ist § 10 des Versorgungslastenteilungs-Staatsvertrags anzuwenden.</w:t>
      </w:r>
    </w:p>
    <w:p>
      <w:r>
        <w:rPr>
          <w:color w:val="555555"/>
          <w:sz w:val="17"/>
        </w:rPr>
        <w:t xml:space="preserve">Zitiervorschlag: § 110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