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SVG 2025 — Erlass von Verwaltungsvorschriften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Bundesministerium der Verteidigung erlässt die zur Durchführung dieses Gesetzes mit Ausnahme des Teils 3 erforderlichen allgemeinen Verwaltungsvorschriften im Einvernehmen mit dem Bundesministerium des Innern, für Bau und Heimat und dem Bundesministerium der Finanzen.</w:t>
      </w:r>
    </w:p>
    <w:p>
      <w:r>
        <w:t xml:space="preserve">(2) Das Bundesministerium für Arbeit und Soziales kann im Einvernehmen mit dem Bundesministerium der Verteidigung allgemeine Verwaltungsvorschriften zur Durchführung des Teils 3 erlassen.</w:t>
      </w:r>
    </w:p>
    <w:p>
      <w:r>
        <w:t xml:space="preserve">(3) Soweit sich die allgemeinen Verwaltungsvorschriften an die Landesbehörden wenden, werden sie von der Bundesregierung mit Zustimmung des Bundesrates erlassen.</w:t>
      </w:r>
    </w:p>
    <w:p>
      <w:r>
        <w:rPr>
          <w:color w:val="555555"/>
          <w:sz w:val="17"/>
        </w:rPr>
        <w:t xml:space="preserve">Zitiervorschlag: § 108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