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SVG 2025 — Dienstzeitversorgung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Bundesministerium der Verteidigung führt die Versorgung nach Teil 2 bei Behörden der Bundeswehrverwaltung durch. Einzelne Aufgaben können durch Behörden im Geschäftsbereich eines anderen Bundesministeriums wahrgenommen werden. § 14 Absatz 3 und § 15 bleiben unberührt.</w:t>
      </w:r>
    </w:p>
    <w:p>
      <w:r>
        <w:t xml:space="preserve">(2) Bei Streitigkeiten in Angelegenheiten des Absatzes 1 gelten, soweit es sich nicht um Angelegenheiten des § 56 Absatz 2 handelt, die §§ 126 bis 128 des Bundesbeamtengesetzes entsprechend; bis zur Beendigung des Dienstverhältnisses sind jedoch die Vorschriften der Wehrbeschwerdeordnung über das verwaltungsgerichtliche Vorverfahren (§ 23 der Wehrbeschwerdeordnung) anzuwenden.</w:t>
      </w:r>
    </w:p>
    <w:p>
      <w:r>
        <w:rPr>
          <w:color w:val="555555"/>
          <w:sz w:val="17"/>
        </w:rPr>
        <w:t xml:space="preserve">Zitiervorschlag: § 102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