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SVG 2025 — Persönlicher Geltungsbereich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(1) Dieses Gesetz gilt für die früheren Soldatinnen und Soldaten und ihre Hinterbliebenen, soweit es im Einzelnen nichts anderes bestimmt.</w:t>
      </w:r>
    </w:p>
    <w:p>
      <w:r>
        <w:t xml:space="preserve">(2) Teil 2 mit Ausnahme der §§ 4 und 5 Absatz 1, der §§ 6 und 7 Absatz 2, der §§ 9, 11 und 56 Absatz 1 Satz 1 erster Halbsatz und Absatz 2 sowie der §§ 63, 65, 84 bis 87 und 89 bis 91 gilt nicht für Soldatinnen auf Zeit und Soldaten auf Zeit, die keinen Anspruch auf Besoldung haben (§ 3 Absatz 2 des Bundesbesoldungsgesetzes).</w:t>
      </w:r>
    </w:p>
    <w:p>
      <w:r>
        <w:rPr>
          <w:color w:val="555555"/>
          <w:sz w:val="17"/>
        </w:rPr>
        <w:t xml:space="preserve">Zitiervorschlag: § 1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