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SVFAG</w:t>
      </w:r>
    </w:p>
    <w:p>
      <w:r>
        <w:rPr>
          <w:color w:val="555555"/>
          <w:sz w:val="18"/>
        </w:rPr>
        <w:t xml:space="preserve">Fremdrenten- und Auslandsrentengesetz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dem 1. April 1952 in Kraft. ...</w:t>
      </w:r>
    </w:p>
    <w:p>
      <w:r>
        <w:t xml:space="preserve">(2) u. (3)</w:t>
      </w:r>
    </w:p>
    <w:p>
      <w:r>
        <w:rPr>
          <w:color w:val="555555"/>
          <w:sz w:val="17"/>
        </w:rPr>
        <w:t xml:space="preserve">Zitiervorschlag: § 20 SVFAG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https://recht.nulegal.eu/gesetze/SVFAG/20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