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SVDDRAuflG — Gesamtrechtsnachfolge</w:t>
      </w:r>
    </w:p>
    <w:p>
      <w:r>
        <w:rPr>
          <w:color w:val="555555"/>
          <w:sz w:val="18"/>
        </w:rPr>
        <w:t xml:space="preserve">Gesetz über die Auflösung der Staatlichen Versicherung der Deutschen Demokratischen Republik in Abwicklung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Kreditanstalt für Wiederaufbau tritt mit Wirkung vom 1. Januar 2008 in die Rechte und Pflichten der Anstalt ein.</w:t>
      </w:r>
    </w:p>
    <w:p>
      <w:r>
        <w:rPr>
          <w:color w:val="555555"/>
          <w:sz w:val="17"/>
        </w:rPr>
        <w:t xml:space="preserve">Zitiervorschlag: § 2 SVDDRAuflG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https://recht.nulegal.eu/gesetze/SVDDRAuflG/2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