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SVBezGrV 2026</w:t>
      </w:r>
    </w:p>
    <w:p>
      <w:r>
        <w:rPr>
          <w:color w:val="555555"/>
          <w:sz w:val="18"/>
        </w:rPr>
        <w:t xml:space="preserve">Sozialversicherungsrechengrößen-Verordnung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 Bundesregierung verordnet aufgrund</w:t>
      </w:r>
    </w:p>
    <w:p>
      <w:pPr>
        <w:ind w:left="420"/>
      </w:pPr>
      <w:r>
        <w:t xml:space="preserve">– des § 68 Absatz 2 Satz 1, des § 69 Absatz 2, der §§ 159 und 160 Nummer 2 sowie des § 228b des Sechsten Buches Sozialgesetzbuch – Gesetzliche Rentenversicherung – in der Fassung der Bekanntmachung vom 19. Februar 2002 (BGBl. I S. 754, 1404, 3384), das zuletzt durch Artikel 11 des Gesetzes vom 18. Dezember 2024 (BGBl. 2024 I Nr. 423) geändert worden ist,</w:t>
      </w:r>
    </w:p>
    <w:p>
      <w:pPr>
        <w:ind w:left="420"/>
      </w:pPr>
      <w:r>
        <w:t xml:space="preserve">– des § 6 Absatz 6 und 7 des Fünften Buches Sozialgesetzbuch – Gesetzliche Krankenversicherung – (Artikel 1 des Gesetzes vom 20. Dezember 1988, BGBl. I S. 2477, 2482), das zuletzt durch Artikel 9 des Gesetzes vom 30. September 2025 (BGBl. 2025 I Nr. 231) geändert worden ist,</w:t>
      </w:r>
    </w:p>
    <w:p>
      <w:r>
        <w:t xml:space="preserve">und das Bundesministerium für Arbeit und Soziales verordnet aufgrund des § 17 Absatz 2 Satz 1 und des § 18 des Vierten Buches Sozialgesetzbuch – Gemeinsame Vorschriften für die Sozialversicherung – in der Fassung der Bekanntmachung vom 12. November 2009 (BGBl. I S. 3710, 3973; 2011 I S. 363), das zuletzt durch Artikel 6a des Gesetzes vom 25. Februar 2025 (BGBl. 2025 I Nr. 63) geändert worden ist:</w:t>
      </w:r>
    </w:p>
    <w:p>
      <w:r>
        <w:rPr>
          <w:color w:val="555555"/>
          <w:sz w:val="17"/>
        </w:rPr>
        <w:t xml:space="preserve">Zitiervorschlag: Eingangsformel SVBezGrV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