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2023</w:t>
      </w:r>
    </w:p>
    <w:p>
      <w:r>
        <w:rPr>
          <w:color w:val="555555"/>
          <w:sz w:val="18"/>
        </w:rPr>
        <w:t xml:space="preserve">Sozialversicherungsrechengrößen-Verordnung 2023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69 Absatz 2 in Verbindung mit § 68 Absatz 2 Satz 1 und § 228b, des § 160 Nummer 2 in Verbindung mit § 159, § 68 Absatz 2 Satz 1 und § 228b sowie des § 275b in Verbindung mit § 275a des Sechsten Buches Sozialgesetzbuch, von denen § 69 Absatz 2 zuletzt durch Artikel 4 Nummer 3 Buchstabe b des Gesetzes vom 22. Dezember 2011 (BGBl. I S. 3057), § 68 Absatz 2 und § 159 zuletzt durch Artikel 5 Nummer 1 Buchstabe b und Nummer 4 des Gesetzes vom 2. Dezember 2006 (BGBl. I S. 2742) sowie § 228b und § 275a zuletzt durch Artikel 1 Nummer 11 und Nummer 31 des Gesetzes vom 17. Juli 2017 (BGBl. I S. 2575) geändert worden sind,</w:t>
      </w:r>
    </w:p>
    <w:p>
      <w:pPr>
        <w:ind w:left="420"/>
      </w:pPr>
      <w:r>
        <w:t xml:space="preserve">– des § 6 Absatz 6 und 7 des Fünften Buches Sozialgesetzbuch, dessen Absatz 7 durch Artikel 1 Nummer 1 Buchstabe c des Gesetzes vom 23. Dezember 2002 (BGBl. I S. 4637) angefügt und dessen Absatz 6 durch Artikel 4 des Gesetzes vom 2. Dezember 2006 (BGBl. I S. 2742) geändert worden ist,</w:t>
      </w:r>
    </w:p>
    <w:p>
      <w:r>
        <w:t xml:space="preserve">verordnet die Bundesregierung und auf Grund</w:t>
      </w:r>
    </w:p>
    <w:p>
      <w:pPr>
        <w:ind w:left="420"/>
      </w:pPr>
      <w:r>
        <w:t xml:space="preserve">– des § 17 Absatz 2 Satz 1 in Verbindung mit § 18 des Vierten Buches Sozialgesetzbuch, dessen § 18 durch Artikel 3 Nummer 4 des Gesetzes vom 17. Juli 2017 (BGBl. I S. 2575) geändert worden ist,</w:t>
      </w:r>
    </w:p>
    <w:p>
      <w:r>
        <w:t xml:space="preserve">verordnet das Bundesministerium für Arbeit und Soziales:</w:t>
      </w:r>
    </w:p>
    <w:p>
      <w:r>
        <w:rPr>
          <w:color w:val="555555"/>
          <w:sz w:val="17"/>
        </w:rPr>
        <w:t xml:space="preserve">Zitiervorschlag: Eingangsformel SVBezGrV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