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SVBezGrV 2022</w:t>
      </w:r>
    </w:p>
    <w:p>
      <w:r>
        <w:rPr>
          <w:color w:val="555555"/>
          <w:sz w:val="18"/>
        </w:rPr>
        <w:t xml:space="preserve">Sozialversicherungs-Rechengrößenverordnung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228b, des § 160 Nummer 2 in Verbindung mit § 159, § 68 Absatz 2 Satz 1 und § 228b sowie des § 275b in Verbindung mit § 275a des Sechsten Buches Sozialgesetzbuch – Gesetzliche Rentenversicherung –, von denen § 69 Absatz 2 zuletzt durch Artikel 4 Nummer 3 Buchstabe b des Gesetzes vom 22. Dezember 2011 (BGBl. I S. 3057), § 68 Absatz 2 und § 159 zuletzt durch Artikel 5 Nummer 1 Buchstabe b und Nummer 4 des Gesetzes vom 2. Dezember 2006 (BGBl. I S. 2742) sowie § 228b und § 275a zuletzt durch Artikel 1 Nummer 11, Nummer 19 Buchstabe b und Nummer 31 des Gesetzes vom 17. Juli 2017 (BGBl. I S. 2575) geändert worden sind,</w:t>
      </w:r>
    </w:p>
    <w:p>
      <w:pPr>
        <w:ind w:left="420"/>
      </w:pPr>
      <w:r>
        <w:t xml:space="preserve">– des § 6 Absatz 6 und 7 des Fünften Buches Sozialgesetzbuch – Gesetzliche Krankenversicherung –,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 – Gemeinsame Vorschriften für die Sozialversicherung –, dessen § 18 durch Artikel 3 Nummer 4 des Gesetzes vom 17. Juli 2017 (BGBl. I S. 2575) geändert worden ist,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SVBezGrV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